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5B7BDF0E" w:rsidR="00153B75" w:rsidRDefault="001875D6" w:rsidP="008A7035">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C267C79"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bookmarkStart w:id="0" w:name="_Hlk86994906"/>
      <w:r w:rsidR="00592CA7" w:rsidRPr="00592CA7">
        <w:rPr>
          <w:rFonts w:asciiTheme="minorHAnsi" w:eastAsia="Calibri" w:hAnsiTheme="minorHAnsi" w:cstheme="minorHAnsi"/>
          <w:b/>
          <w:bCs/>
          <w:color w:val="auto"/>
          <w:sz w:val="22"/>
          <w:lang w:eastAsia="en-US"/>
        </w:rPr>
        <w:t>Dostawa fabrycznie nowego samochodu osobowego 9-cio miejscowego przystosowanego do przewozu jednej osoby na wózku inwalidzkim</w:t>
      </w:r>
      <w:bookmarkEnd w:id="0"/>
      <w:r w:rsidRPr="00F23D8E">
        <w:rPr>
          <w:rFonts w:asciiTheme="minorHAnsi" w:eastAsia="Calibri" w:hAnsiTheme="minorHAnsi" w:cstheme="minorHAnsi"/>
          <w:b/>
          <w:bCs/>
          <w:color w:val="auto"/>
          <w:sz w:val="22"/>
        </w:rPr>
        <w:t>”</w:t>
      </w:r>
    </w:p>
    <w:p w14:paraId="667B9137" w14:textId="619A50E5"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w:t>
      </w:r>
      <w:r w:rsidR="00E560B7">
        <w:rPr>
          <w:rFonts w:ascii="Calibri" w:eastAsia="Calibri" w:hAnsi="Calibri" w:cs="Times New Roman"/>
          <w:b/>
          <w:color w:val="auto"/>
          <w:sz w:val="22"/>
          <w:lang w:eastAsia="en-US"/>
        </w:rPr>
        <w:t>8</w:t>
      </w:r>
      <w:r w:rsidR="00E85A1B" w:rsidRPr="00E85A1B">
        <w:rPr>
          <w:rFonts w:ascii="Calibri" w:eastAsia="Calibri" w:hAnsi="Calibri" w:cs="Times New Roman"/>
          <w:b/>
          <w:color w:val="auto"/>
          <w:sz w:val="22"/>
          <w:lang w:eastAsia="en-US"/>
        </w:rPr>
        <w:t>.</w:t>
      </w:r>
      <w:r w:rsidR="004E2F9E" w:rsidRPr="00E85A1B">
        <w:rPr>
          <w:rFonts w:ascii="Calibri" w:eastAsia="Calibri" w:hAnsi="Calibri" w:cs="Times New Roman"/>
          <w:b/>
          <w:color w:val="auto"/>
          <w:sz w:val="22"/>
          <w:lang w:eastAsia="en-US"/>
        </w:rPr>
        <w:t>202</w:t>
      </w:r>
      <w:r w:rsidR="00E20CDD">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6D6CE46F"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E560B7">
        <w:rPr>
          <w:rFonts w:ascii="Calibri" w:eastAsia="Calibri" w:hAnsi="Calibri" w:cs="Times New Roman"/>
          <w:color w:val="auto"/>
          <w:sz w:val="22"/>
          <w:lang w:eastAsia="en-US"/>
        </w:rPr>
        <w:t>26 sierpnia</w:t>
      </w:r>
      <w:r w:rsidR="00E20CDD">
        <w:rPr>
          <w:rFonts w:ascii="Calibri" w:eastAsia="Calibri" w:hAnsi="Calibri" w:cs="Times New Roman"/>
          <w:color w:val="auto"/>
          <w:sz w:val="22"/>
          <w:lang w:eastAsia="en-US"/>
        </w:rPr>
        <w:t xml:space="preserve"> 2022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A2913BF"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4E7634C" w14:textId="77777777" w:rsidR="008A7035" w:rsidRDefault="008A7035"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5E38971"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w:t>
      </w:r>
      <w:r w:rsidR="00E560B7">
        <w:rPr>
          <w:rFonts w:asciiTheme="minorHAnsi" w:hAnsiTheme="minorHAnsi" w:cstheme="minorHAnsi"/>
          <w:b/>
          <w:bCs/>
          <w:color w:val="auto"/>
          <w:sz w:val="22"/>
        </w:rPr>
        <w:t>8</w:t>
      </w:r>
      <w:r w:rsidR="00D6336F" w:rsidRPr="00E85A1B">
        <w:rPr>
          <w:rFonts w:asciiTheme="minorHAnsi" w:hAnsiTheme="minorHAnsi" w:cstheme="minorHAnsi"/>
          <w:b/>
          <w:bCs/>
          <w:color w:val="auto"/>
          <w:sz w:val="22"/>
        </w:rPr>
        <w:t>.202</w:t>
      </w:r>
      <w:r w:rsidR="00E20CDD">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16AF5" w14:textId="12564F42" w:rsidR="00592CA7" w:rsidRPr="00592CA7" w:rsidRDefault="00360846" w:rsidP="00592CA7">
      <w:pPr>
        <w:ind w:left="718" w:right="337"/>
        <w:rPr>
          <w:rFonts w:asciiTheme="minorHAnsi" w:hAnsiTheme="minorHAnsi" w:cstheme="minorHAnsi"/>
          <w:bCs/>
          <w:sz w:val="22"/>
        </w:rPr>
      </w:pPr>
      <w:r w:rsidRPr="002A7B84">
        <w:rPr>
          <w:rFonts w:asciiTheme="minorHAnsi" w:hAnsiTheme="minorHAnsi" w:cstheme="minorHAnsi"/>
          <w:bCs/>
          <w:sz w:val="22"/>
        </w:rPr>
        <w:t xml:space="preserve">Zamówienie jest </w:t>
      </w:r>
      <w:r w:rsidR="00592CA7">
        <w:rPr>
          <w:rFonts w:asciiTheme="minorHAnsi" w:hAnsiTheme="minorHAnsi" w:cstheme="minorHAnsi"/>
          <w:bCs/>
          <w:sz w:val="22"/>
        </w:rPr>
        <w:t>dofinansowane</w:t>
      </w:r>
      <w:r w:rsidRPr="002A7B84">
        <w:rPr>
          <w:rFonts w:asciiTheme="minorHAnsi" w:hAnsiTheme="minorHAnsi" w:cstheme="minorHAnsi"/>
          <w:bCs/>
          <w:sz w:val="22"/>
        </w:rPr>
        <w:t xml:space="preserve"> z</w:t>
      </w:r>
      <w:r w:rsidR="00592CA7">
        <w:rPr>
          <w:rFonts w:asciiTheme="minorHAnsi" w:hAnsiTheme="minorHAnsi" w:cstheme="minorHAnsi"/>
          <w:bCs/>
          <w:sz w:val="22"/>
        </w:rPr>
        <w:t>e</w:t>
      </w:r>
      <w:r w:rsidRPr="002A7B84">
        <w:rPr>
          <w:rFonts w:asciiTheme="minorHAnsi" w:hAnsiTheme="minorHAnsi" w:cstheme="minorHAnsi"/>
          <w:bCs/>
          <w:sz w:val="22"/>
        </w:rPr>
        <w:t xml:space="preserve"> </w:t>
      </w:r>
      <w:r w:rsidR="00592CA7" w:rsidRPr="00592CA7">
        <w:rPr>
          <w:rFonts w:asciiTheme="minorHAnsi" w:hAnsiTheme="minorHAnsi" w:cstheme="minorHAnsi"/>
          <w:bCs/>
          <w:sz w:val="22"/>
        </w:rPr>
        <w:t>środków Państwowego Funduszu Rehabilitacji Osób</w:t>
      </w:r>
      <w:r w:rsidR="00592CA7">
        <w:rPr>
          <w:rFonts w:asciiTheme="minorHAnsi" w:hAnsiTheme="minorHAnsi" w:cstheme="minorHAnsi"/>
          <w:bCs/>
          <w:sz w:val="22"/>
        </w:rPr>
        <w:t xml:space="preserve"> </w:t>
      </w:r>
      <w:r w:rsidR="00592CA7" w:rsidRPr="00592CA7">
        <w:rPr>
          <w:rFonts w:asciiTheme="minorHAnsi" w:hAnsiTheme="minorHAnsi" w:cstheme="minorHAnsi"/>
          <w:bCs/>
          <w:sz w:val="22"/>
        </w:rPr>
        <w:t>Niepełnosprawnych w ramach obszaru D "Program wyrównywania różnic miedzy regionami III"</w:t>
      </w:r>
    </w:p>
    <w:p w14:paraId="3B27B68C" w14:textId="62B10907" w:rsidR="00592CA7" w:rsidRPr="00592CA7" w:rsidRDefault="00592CA7" w:rsidP="00592CA7">
      <w:pPr>
        <w:ind w:left="718" w:right="337"/>
        <w:rPr>
          <w:rFonts w:asciiTheme="minorHAnsi" w:hAnsiTheme="minorHAnsi" w:cstheme="minorHAnsi"/>
          <w:bCs/>
          <w:sz w:val="22"/>
        </w:rPr>
      </w:pPr>
      <w:r w:rsidRPr="00592CA7">
        <w:rPr>
          <w:rFonts w:asciiTheme="minorHAnsi" w:hAnsiTheme="minorHAnsi" w:cstheme="minorHAnsi"/>
          <w:bCs/>
          <w:sz w:val="22"/>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3CB3F8" w14:textId="54801F27" w:rsidR="00632DA2" w:rsidRPr="00632DA2" w:rsidRDefault="00632DA2" w:rsidP="00632DA2">
      <w:pPr>
        <w:numPr>
          <w:ilvl w:val="1"/>
          <w:numId w:val="1"/>
        </w:numPr>
        <w:ind w:right="337" w:hanging="863"/>
        <w:rPr>
          <w:rFonts w:asciiTheme="minorHAnsi" w:hAnsiTheme="minorHAnsi" w:cstheme="minorHAnsi"/>
          <w:sz w:val="22"/>
        </w:rPr>
      </w:pPr>
      <w:r w:rsidRPr="00632DA2">
        <w:rPr>
          <w:rFonts w:asciiTheme="minorHAnsi" w:hAnsiTheme="minorHAnsi" w:cstheme="minorHAnsi"/>
          <w:sz w:val="22"/>
        </w:rPr>
        <w:lastRenderedPageBreak/>
        <w:t>Przedmiotem dostawy jest fabrycznie nowy pojazd 9-osobowy (8+1) do przewozu osób niepełnosprawnych, w tym z jednym miejscem przystosowanym do przewozu osoby na wózku inwalidzkim, spełniającym wymagania ustawy z dnia 20 czerwca 1997 r. – Prawo o ruchu drogowym (</w:t>
      </w:r>
      <w:r w:rsidR="000C3753">
        <w:rPr>
          <w:rFonts w:asciiTheme="minorHAnsi" w:hAnsiTheme="minorHAnsi" w:cstheme="minorHAnsi"/>
          <w:sz w:val="22"/>
        </w:rPr>
        <w:t xml:space="preserve">t.j. </w:t>
      </w:r>
      <w:r w:rsidRPr="00632DA2">
        <w:rPr>
          <w:rFonts w:asciiTheme="minorHAnsi" w:hAnsiTheme="minorHAnsi" w:cstheme="minorHAnsi"/>
          <w:sz w:val="22"/>
        </w:rPr>
        <w:t>Dz. U. z 202</w:t>
      </w:r>
      <w:r w:rsidR="000C3753">
        <w:rPr>
          <w:rFonts w:asciiTheme="minorHAnsi" w:hAnsiTheme="minorHAnsi" w:cstheme="minorHAnsi"/>
          <w:sz w:val="22"/>
        </w:rPr>
        <w:t>2</w:t>
      </w:r>
      <w:r w:rsidRPr="00632DA2">
        <w:rPr>
          <w:rFonts w:asciiTheme="minorHAnsi" w:hAnsiTheme="minorHAnsi" w:cstheme="minorHAnsi"/>
          <w:sz w:val="22"/>
        </w:rPr>
        <w:t xml:space="preserve"> r. poz. </w:t>
      </w:r>
      <w:r w:rsidR="000C3753">
        <w:rPr>
          <w:rFonts w:asciiTheme="minorHAnsi" w:hAnsiTheme="minorHAnsi" w:cstheme="minorHAnsi"/>
          <w:sz w:val="22"/>
        </w:rPr>
        <w:t>988</w:t>
      </w:r>
      <w:r w:rsidRPr="00632DA2">
        <w:rPr>
          <w:rFonts w:asciiTheme="minorHAnsi" w:hAnsiTheme="minorHAnsi" w:cstheme="minorHAnsi"/>
          <w:sz w:val="22"/>
        </w:rPr>
        <w:t xml:space="preserve"> z późn.zm.), Rozporządzenia Ministra Infrastruktury z dnia 31 grudnia 2002 r. w sprawie warunków technicznych pojazdów oraz zakresu ich niezbędnego wyposażenia (</w:t>
      </w:r>
      <w:r w:rsidR="000C3753">
        <w:rPr>
          <w:rFonts w:asciiTheme="minorHAnsi" w:hAnsiTheme="minorHAnsi" w:cstheme="minorHAnsi"/>
          <w:sz w:val="22"/>
        </w:rPr>
        <w:t xml:space="preserve">t.j. </w:t>
      </w:r>
      <w:r w:rsidRPr="00632DA2">
        <w:rPr>
          <w:rFonts w:asciiTheme="minorHAnsi" w:hAnsiTheme="minorHAnsi" w:cstheme="minorHAnsi"/>
          <w:sz w:val="22"/>
        </w:rPr>
        <w:t>Dz. U. z 2016 r. poz. 2022 z późn.zm.).</w:t>
      </w:r>
    </w:p>
    <w:p w14:paraId="424184BA" w14:textId="77777777" w:rsidR="001143E0" w:rsidRDefault="001143E0">
      <w:pPr>
        <w:ind w:left="716" w:right="337"/>
        <w:rPr>
          <w:rFonts w:ascii="Calibri" w:eastAsia="Calibri" w:hAnsi="Calibri" w:cs="Calibri"/>
          <w:color w:val="auto"/>
          <w:szCs w:val="20"/>
        </w:rPr>
      </w:pPr>
    </w:p>
    <w:p w14:paraId="5B2E33C4" w14:textId="2F93A846"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3532C82" w:rsidR="00153B75" w:rsidRPr="008D0FDA" w:rsidRDefault="0070021A" w:rsidP="00F304BA">
      <w:pPr>
        <w:ind w:left="718" w:right="337"/>
        <w:rPr>
          <w:rFonts w:asciiTheme="minorHAnsi" w:hAnsiTheme="minorHAnsi" w:cstheme="minorHAnsi"/>
          <w:bCs/>
          <w:sz w:val="22"/>
        </w:rPr>
      </w:pPr>
      <w:r w:rsidRPr="0070021A">
        <w:rPr>
          <w:rFonts w:asciiTheme="minorHAnsi" w:hAnsiTheme="minorHAnsi" w:cstheme="minorHAnsi"/>
          <w:bCs/>
          <w:sz w:val="22"/>
        </w:rPr>
        <w:t>34110000-1</w:t>
      </w:r>
      <w:r w:rsidR="00D51E5C" w:rsidRPr="00D51E5C">
        <w:rPr>
          <w:rFonts w:asciiTheme="minorHAnsi" w:hAnsiTheme="minorHAnsi" w:cstheme="minorHAnsi"/>
          <w:bCs/>
          <w:sz w:val="22"/>
        </w:rPr>
        <w:t xml:space="preserve"> </w:t>
      </w:r>
      <w:r>
        <w:rPr>
          <w:rFonts w:asciiTheme="minorHAnsi" w:hAnsiTheme="minorHAnsi" w:cstheme="minorHAnsi"/>
          <w:bCs/>
          <w:sz w:val="22"/>
        </w:rPr>
        <w:t>Samochody osobowe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38F92D9C" w14:textId="01C4C932" w:rsidR="00744115" w:rsidRPr="00744115" w:rsidRDefault="00B30A93" w:rsidP="00744115">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4D276F5A"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06E57">
        <w:rPr>
          <w:rFonts w:asciiTheme="minorHAnsi" w:hAnsiTheme="minorHAnsi" w:cstheme="minorHAnsi"/>
          <w:sz w:val="22"/>
        </w:rPr>
        <w:t>dostaw</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604D9703"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E40A22">
        <w:rPr>
          <w:rFonts w:asciiTheme="minorHAnsi" w:hAnsiTheme="minorHAnsi" w:cstheme="minorHAnsi"/>
          <w:b/>
          <w:bCs/>
          <w:color w:val="auto"/>
          <w:sz w:val="22"/>
        </w:rPr>
        <w:t>do</w:t>
      </w:r>
      <w:r w:rsidR="0050441F" w:rsidRPr="00D31E82">
        <w:rPr>
          <w:rFonts w:asciiTheme="minorHAnsi" w:hAnsiTheme="minorHAnsi" w:cstheme="minorHAnsi"/>
          <w:color w:val="auto"/>
          <w:sz w:val="22"/>
        </w:rPr>
        <w:t xml:space="preserve"> </w:t>
      </w:r>
      <w:r w:rsidR="00585149">
        <w:rPr>
          <w:rFonts w:asciiTheme="minorHAnsi" w:hAnsiTheme="minorHAnsi" w:cstheme="minorHAnsi"/>
          <w:b/>
          <w:bCs/>
          <w:color w:val="auto"/>
          <w:sz w:val="22"/>
        </w:rPr>
        <w:t>28</w:t>
      </w:r>
      <w:r w:rsidR="00E40A22">
        <w:rPr>
          <w:rFonts w:asciiTheme="minorHAnsi" w:hAnsiTheme="minorHAnsi" w:cstheme="minorHAnsi"/>
          <w:b/>
          <w:bCs/>
          <w:color w:val="auto"/>
          <w:sz w:val="22"/>
        </w:rPr>
        <w:t xml:space="preserve"> </w:t>
      </w:r>
      <w:r w:rsidR="00585149">
        <w:rPr>
          <w:rFonts w:asciiTheme="minorHAnsi" w:hAnsiTheme="minorHAnsi" w:cstheme="minorHAnsi"/>
          <w:b/>
          <w:bCs/>
          <w:color w:val="auto"/>
          <w:sz w:val="22"/>
        </w:rPr>
        <w:t>lutego 2023</w:t>
      </w:r>
      <w:r w:rsidR="0050441F" w:rsidRPr="00D31E8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6F17E2AB"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025FAB7E" w14:textId="3F5EBF64" w:rsidR="00EB35EA" w:rsidRPr="00662AA6" w:rsidRDefault="00EB35EA" w:rsidP="00DB447B">
      <w:pPr>
        <w:numPr>
          <w:ilvl w:val="1"/>
          <w:numId w:val="1"/>
        </w:numPr>
        <w:spacing w:after="33" w:line="240" w:lineRule="auto"/>
        <w:ind w:right="337" w:hanging="852"/>
        <w:rPr>
          <w:rFonts w:asciiTheme="minorHAnsi" w:hAnsiTheme="minorHAnsi" w:cstheme="minorHAnsi"/>
          <w:sz w:val="22"/>
        </w:rPr>
      </w:pPr>
      <w:r w:rsidRPr="00EB35EA">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7E5889D"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E40A22">
        <w:rPr>
          <w:rFonts w:asciiTheme="minorHAnsi" w:hAnsiTheme="minorHAnsi" w:cstheme="minorHAnsi"/>
          <w:color w:val="auto"/>
          <w:sz w:val="22"/>
        </w:rPr>
        <w:t>Jan Kamont</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w:t>
      </w:r>
      <w:r w:rsidR="00E40A22">
        <w:rPr>
          <w:rFonts w:asciiTheme="minorHAnsi" w:hAnsiTheme="minorHAnsi" w:cstheme="minorHAnsi"/>
          <w:bCs/>
          <w:color w:val="auto"/>
          <w:sz w:val="22"/>
        </w:rPr>
        <w:t>4</w:t>
      </w:r>
      <w:r>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7AC079D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1D22BC" w:rsidRPr="001D22BC">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17E5F1F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69883260"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3FDA7344" w14:textId="32C2AAAC"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E40A22" w:rsidRPr="0034672E">
        <w:rPr>
          <w:rFonts w:asciiTheme="minorHAnsi" w:hAnsiTheme="minorHAnsi" w:cstheme="minorHAnsi"/>
          <w:b/>
          <w:bCs/>
          <w:sz w:val="22"/>
        </w:rPr>
        <w:t>nie</w:t>
      </w:r>
      <w:r w:rsidR="00E40A22">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E40A22">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lastRenderedPageBreak/>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1C4EB5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34672E">
        <w:rPr>
          <w:rFonts w:asciiTheme="minorHAnsi" w:hAnsiTheme="minorHAnsi" w:cstheme="minorHAnsi"/>
          <w:b/>
          <w:sz w:val="22"/>
        </w:rPr>
        <w:t>3</w:t>
      </w:r>
      <w:r w:rsidRPr="00B2198A">
        <w:rPr>
          <w:rFonts w:asciiTheme="minorHAnsi" w:hAnsiTheme="minorHAnsi" w:cstheme="minorHAnsi"/>
          <w:b/>
          <w:sz w:val="22"/>
        </w:rPr>
        <w:t xml:space="preserve"> do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40BA5DD0"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E560B7">
        <w:rPr>
          <w:rFonts w:asciiTheme="minorHAnsi" w:hAnsiTheme="minorHAnsi" w:cstheme="minorHAnsi"/>
          <w:b/>
          <w:bCs/>
          <w:sz w:val="22"/>
        </w:rPr>
        <w:t>07.09</w:t>
      </w:r>
      <w:r w:rsidR="00D06E57">
        <w:rPr>
          <w:rFonts w:asciiTheme="minorHAnsi" w:hAnsiTheme="minorHAnsi" w:cstheme="minorHAnsi"/>
          <w:b/>
          <w:bCs/>
          <w:sz w:val="22"/>
        </w:rPr>
        <w:t>.2022</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DF53E2">
        <w:rPr>
          <w:rFonts w:asciiTheme="minorHAnsi" w:hAnsiTheme="minorHAnsi" w:cstheme="minorHAnsi"/>
          <w:b/>
          <w:sz w:val="22"/>
        </w:rPr>
        <w:t>0</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2D2910D5"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E560B7">
        <w:rPr>
          <w:rFonts w:asciiTheme="minorHAnsi" w:hAnsiTheme="minorHAnsi" w:cstheme="minorHAnsi"/>
          <w:b/>
          <w:sz w:val="22"/>
        </w:rPr>
        <w:t>07.09</w:t>
      </w:r>
      <w:r w:rsidR="00D06E57">
        <w:rPr>
          <w:rFonts w:asciiTheme="minorHAnsi" w:hAnsiTheme="minorHAnsi" w:cstheme="minorHAnsi"/>
          <w:b/>
          <w:sz w:val="22"/>
        </w:rPr>
        <w:t>.2022</w:t>
      </w:r>
      <w:r w:rsidRPr="00353C0F">
        <w:rPr>
          <w:rFonts w:asciiTheme="minorHAnsi" w:hAnsiTheme="minorHAnsi" w:cstheme="minorHAnsi"/>
          <w:b/>
          <w:sz w:val="22"/>
        </w:rPr>
        <w:t xml:space="preserve"> r., o godzinie 1</w:t>
      </w:r>
      <w:r w:rsidR="00DF53E2">
        <w:rPr>
          <w:rFonts w:asciiTheme="minorHAnsi" w:hAnsiTheme="minorHAnsi" w:cstheme="minorHAnsi"/>
          <w:b/>
          <w:sz w:val="22"/>
        </w:rPr>
        <w:t>0</w:t>
      </w:r>
      <w:r w:rsidRPr="00353C0F">
        <w:rPr>
          <w:rFonts w:asciiTheme="minorHAnsi" w:hAnsiTheme="minorHAnsi" w:cstheme="minorHAnsi"/>
          <w:b/>
          <w:sz w:val="22"/>
        </w:rPr>
        <w:t>:</w:t>
      </w:r>
      <w:r w:rsidR="00DF53E2">
        <w:rPr>
          <w:rFonts w:asciiTheme="minorHAnsi" w:hAnsiTheme="minorHAnsi" w:cstheme="minorHAnsi"/>
          <w:b/>
          <w:sz w:val="22"/>
        </w:rPr>
        <w:t>15</w:t>
      </w:r>
      <w:r w:rsidRPr="00353C0F">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lastRenderedPageBreak/>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4F4F17E7"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E560B7">
        <w:rPr>
          <w:rFonts w:asciiTheme="minorHAnsi" w:hAnsiTheme="minorHAnsi" w:cstheme="minorHAnsi"/>
          <w:b/>
          <w:sz w:val="22"/>
        </w:rPr>
        <w:t>06.10</w:t>
      </w:r>
      <w:r w:rsidR="006A609F" w:rsidRPr="00353C0F">
        <w:rPr>
          <w:rFonts w:asciiTheme="minorHAnsi" w:hAnsiTheme="minorHAnsi" w:cstheme="minorHAnsi"/>
          <w:b/>
          <w:sz w:val="22"/>
        </w:rPr>
        <w:t>.</w:t>
      </w:r>
      <w:r w:rsidR="003E26D3" w:rsidRPr="00353C0F">
        <w:rPr>
          <w:rFonts w:asciiTheme="minorHAnsi" w:hAnsiTheme="minorHAnsi" w:cstheme="minorHAnsi"/>
          <w:b/>
          <w:sz w:val="22"/>
        </w:rPr>
        <w:t>202</w:t>
      </w:r>
      <w:r w:rsidR="00336684">
        <w:rPr>
          <w:rFonts w:asciiTheme="minorHAnsi" w:hAnsiTheme="minorHAnsi" w:cstheme="minorHAnsi"/>
          <w:b/>
          <w:sz w:val="22"/>
        </w:rPr>
        <w:t>2</w:t>
      </w:r>
      <w:r w:rsidR="003E26D3" w:rsidRPr="00353C0F">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lastRenderedPageBreak/>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(Gb/Gn)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Gb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Gn – najdłuższy okres gwarancji spośród ofert nieodrzuconych. </w:t>
      </w:r>
    </w:p>
    <w:p w14:paraId="2D2D5E29" w14:textId="188487A8"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Zamawiający wymaga zaoferowania gwarancji </w:t>
      </w:r>
      <w:r w:rsidR="0091587C">
        <w:rPr>
          <w:rFonts w:ascii="Calibri" w:eastAsia="Calibri" w:hAnsi="Calibri" w:cs="Times New Roman"/>
          <w:color w:val="auto"/>
          <w:sz w:val="22"/>
          <w:lang w:eastAsia="en-US"/>
        </w:rPr>
        <w:t xml:space="preserve">bez limitu kilometrów </w:t>
      </w:r>
      <w:r w:rsidRPr="005F7E28">
        <w:rPr>
          <w:rFonts w:ascii="Calibri" w:eastAsia="Calibri" w:hAnsi="Calibri" w:cs="Times New Roman"/>
          <w:color w:val="auto"/>
          <w:sz w:val="22"/>
          <w:lang w:eastAsia="en-US"/>
        </w:rPr>
        <w:t xml:space="preserve">na okres minimum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w:t>
      </w:r>
      <w:r w:rsidR="0091587C">
        <w:rPr>
          <w:rFonts w:ascii="Calibri" w:eastAsia="Calibri" w:hAnsi="Calibri" w:cs="Times New Roman"/>
          <w:color w:val="auto"/>
          <w:sz w:val="22"/>
          <w:lang w:eastAsia="en-US"/>
        </w:rPr>
        <w:t xml:space="preserve">miesiące na </w:t>
      </w:r>
      <w:r w:rsidR="0034672E">
        <w:rPr>
          <w:rFonts w:ascii="Calibri" w:eastAsia="Calibri" w:hAnsi="Calibri" w:cs="Times New Roman"/>
          <w:color w:val="auto"/>
          <w:sz w:val="22"/>
          <w:lang w:eastAsia="en-US"/>
        </w:rPr>
        <w:t xml:space="preserve">oferowany </w:t>
      </w:r>
      <w:r w:rsidR="0091587C">
        <w:rPr>
          <w:rFonts w:ascii="Calibri" w:eastAsia="Calibri" w:hAnsi="Calibri" w:cs="Times New Roman"/>
          <w:color w:val="auto"/>
          <w:sz w:val="22"/>
          <w:lang w:eastAsia="en-US"/>
        </w:rPr>
        <w:t>przedmiot zamówienia.</w:t>
      </w:r>
      <w:r w:rsidRPr="005F7E28">
        <w:rPr>
          <w:rFonts w:ascii="Calibri" w:eastAsia="Calibri" w:hAnsi="Calibri" w:cs="Times New Roman"/>
          <w:color w:val="auto"/>
          <w:sz w:val="22"/>
          <w:lang w:eastAsia="en-US"/>
        </w:rPr>
        <w:t xml:space="preserve"> Zamawiający przyjmuje, że w kryterium „Okres gwarancji” oceniany będzie proponowany przez wykonawców okres gwarancji w skali od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miesięcy do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w:t>
      </w:r>
    </w:p>
    <w:p w14:paraId="40822688" w14:textId="6E2D3941"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w:t>
      </w:r>
      <w:r w:rsidR="0091587C">
        <w:rPr>
          <w:rFonts w:ascii="Calibri" w:eastAsia="Calibri" w:hAnsi="Calibri" w:cs="Times New Roman"/>
          <w:color w:val="auto"/>
          <w:sz w:val="22"/>
          <w:lang w:eastAsia="en-US"/>
        </w:rPr>
        <w:t>siące</w:t>
      </w:r>
      <w:r w:rsidRPr="005F7E28">
        <w:rPr>
          <w:rFonts w:ascii="Calibri" w:eastAsia="Calibri" w:hAnsi="Calibri" w:cs="Times New Roman"/>
          <w:color w:val="auto"/>
          <w:sz w:val="22"/>
          <w:lang w:eastAsia="en-US"/>
        </w:rPr>
        <w:t>.</w:t>
      </w:r>
    </w:p>
    <w:p w14:paraId="5C0D0EDD" w14:textId="18A676EB"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zaoferowania przez Wykonawcę okresu gwarancji dłuższego niż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Zamawiający w celu przyznania punktów w kryterium „Okres gwarancji” przyjmie do obliczeń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w:t>
      </w:r>
      <w:r w:rsidRPr="00F604D5">
        <w:rPr>
          <w:rFonts w:asciiTheme="minorHAnsi" w:hAnsiTheme="minorHAnsi" w:cstheme="minorHAnsi"/>
          <w:sz w:val="22"/>
        </w:rPr>
        <w:lastRenderedPageBreak/>
        <w:t xml:space="preserve">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DA96" w14:textId="77777777" w:rsidR="00666FF7" w:rsidRDefault="00666FF7">
      <w:pPr>
        <w:spacing w:after="0" w:line="240" w:lineRule="auto"/>
      </w:pPr>
      <w:r>
        <w:separator/>
      </w:r>
    </w:p>
  </w:endnote>
  <w:endnote w:type="continuationSeparator" w:id="0">
    <w:p w14:paraId="032629D2" w14:textId="77777777" w:rsidR="00666FF7" w:rsidRDefault="0066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ECDC" w14:textId="77777777" w:rsidR="00666FF7" w:rsidRDefault="00666FF7">
      <w:pPr>
        <w:spacing w:after="0" w:line="259" w:lineRule="auto"/>
        <w:ind w:left="0" w:right="0" w:firstLine="0"/>
        <w:jc w:val="left"/>
      </w:pPr>
      <w:r>
        <w:separator/>
      </w:r>
    </w:p>
  </w:footnote>
  <w:footnote w:type="continuationSeparator" w:id="0">
    <w:p w14:paraId="0E4BC1F7" w14:textId="77777777" w:rsidR="00666FF7" w:rsidRDefault="00666FF7">
      <w:pPr>
        <w:spacing w:after="0" w:line="259" w:lineRule="auto"/>
        <w:ind w:left="0" w:right="0" w:firstLine="0"/>
        <w:jc w:val="left"/>
      </w:pPr>
      <w:r>
        <w:continuationSeparator/>
      </w:r>
    </w:p>
  </w:footnote>
  <w:footnote w:id="1">
    <w:p w14:paraId="7E62CAAE" w14:textId="132BF2C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2">
    <w:p w14:paraId="2F0661A2" w14:textId="597AEC5E" w:rsidR="00FF186E" w:rsidRDefault="00FF186E">
      <w:pPr>
        <w:pStyle w:val="footnotedescription"/>
        <w:spacing w:after="23"/>
      </w:pPr>
      <w:r>
        <w:rPr>
          <w:rStyle w:val="footnotemark"/>
        </w:rPr>
        <w:footnoteRef/>
      </w:r>
      <w:r>
        <w:t xml:space="preserve"> Ustawa z dnia 23 kwietnia 1964 r. – Kodeks cywilny (</w:t>
      </w:r>
      <w:r w:rsidR="001D22BC" w:rsidRPr="001D22BC">
        <w:t>t.j. Dz. U. z 2020 r. poz. 1740 ze zm.</w:t>
      </w:r>
      <w:r>
        <w:t xml:space="preserve">) </w:t>
      </w:r>
    </w:p>
  </w:footnote>
  <w:footnote w:id="3">
    <w:p w14:paraId="22DC5766" w14:textId="079D183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4">
    <w:p w14:paraId="12FA0B09" w14:textId="7F540B69" w:rsidR="00FF186E" w:rsidRDefault="00FF186E">
      <w:pPr>
        <w:pStyle w:val="footnotedescription"/>
      </w:pPr>
      <w:r>
        <w:rPr>
          <w:rStyle w:val="footnotemark"/>
        </w:rPr>
        <w:footnoteRef/>
      </w:r>
      <w:r>
        <w:t xml:space="preserve"> Ustawa z dnia 11 marca 2004 r. o podatku od towarów i usług (</w:t>
      </w:r>
      <w:r w:rsidR="00DF53E2" w:rsidRPr="00DF53E2">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342988">
    <w:abstractNumId w:val="22"/>
  </w:num>
  <w:num w:numId="2" w16cid:durableId="780564875">
    <w:abstractNumId w:val="4"/>
  </w:num>
  <w:num w:numId="3" w16cid:durableId="233511681">
    <w:abstractNumId w:val="5"/>
  </w:num>
  <w:num w:numId="4" w16cid:durableId="248775360">
    <w:abstractNumId w:val="19"/>
  </w:num>
  <w:num w:numId="5" w16cid:durableId="1583563510">
    <w:abstractNumId w:val="20"/>
  </w:num>
  <w:num w:numId="6" w16cid:durableId="1016998939">
    <w:abstractNumId w:val="1"/>
  </w:num>
  <w:num w:numId="7" w16cid:durableId="2137990746">
    <w:abstractNumId w:val="15"/>
  </w:num>
  <w:num w:numId="8" w16cid:durableId="2118937757">
    <w:abstractNumId w:val="12"/>
  </w:num>
  <w:num w:numId="9" w16cid:durableId="985596750">
    <w:abstractNumId w:val="14"/>
  </w:num>
  <w:num w:numId="10" w16cid:durableId="1119300370">
    <w:abstractNumId w:val="21"/>
  </w:num>
  <w:num w:numId="11" w16cid:durableId="1001201622">
    <w:abstractNumId w:val="11"/>
  </w:num>
  <w:num w:numId="12" w16cid:durableId="702286455">
    <w:abstractNumId w:val="24"/>
  </w:num>
  <w:num w:numId="13" w16cid:durableId="982270723">
    <w:abstractNumId w:val="13"/>
  </w:num>
  <w:num w:numId="14" w16cid:durableId="2028633484">
    <w:abstractNumId w:val="26"/>
  </w:num>
  <w:num w:numId="15" w16cid:durableId="698899758">
    <w:abstractNumId w:val="2"/>
  </w:num>
  <w:num w:numId="16" w16cid:durableId="1469738703">
    <w:abstractNumId w:val="6"/>
  </w:num>
  <w:num w:numId="17" w16cid:durableId="86076897">
    <w:abstractNumId w:val="3"/>
  </w:num>
  <w:num w:numId="18" w16cid:durableId="1044021027">
    <w:abstractNumId w:val="18"/>
  </w:num>
  <w:num w:numId="19" w16cid:durableId="1922912079">
    <w:abstractNumId w:val="23"/>
  </w:num>
  <w:num w:numId="20" w16cid:durableId="813378916">
    <w:abstractNumId w:val="9"/>
  </w:num>
  <w:num w:numId="21" w16cid:durableId="1188913044">
    <w:abstractNumId w:val="27"/>
  </w:num>
  <w:num w:numId="22" w16cid:durableId="2096316608">
    <w:abstractNumId w:val="25"/>
  </w:num>
  <w:num w:numId="23" w16cid:durableId="61997474">
    <w:abstractNumId w:val="10"/>
  </w:num>
  <w:num w:numId="24" w16cid:durableId="1393121196">
    <w:abstractNumId w:val="0"/>
  </w:num>
  <w:num w:numId="25" w16cid:durableId="504246296">
    <w:abstractNumId w:val="17"/>
  </w:num>
  <w:num w:numId="26" w16cid:durableId="46415880">
    <w:abstractNumId w:val="16"/>
  </w:num>
  <w:num w:numId="27" w16cid:durableId="1617518109">
    <w:abstractNumId w:val="28"/>
  </w:num>
  <w:num w:numId="28" w16cid:durableId="744886205">
    <w:abstractNumId w:val="8"/>
  </w:num>
  <w:num w:numId="29" w16cid:durableId="27633245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48"/>
    <w:rsid w:val="000B3C92"/>
    <w:rsid w:val="000B606B"/>
    <w:rsid w:val="000B7CD2"/>
    <w:rsid w:val="000C3753"/>
    <w:rsid w:val="000C7AE5"/>
    <w:rsid w:val="000D4462"/>
    <w:rsid w:val="000E4111"/>
    <w:rsid w:val="000F1A15"/>
    <w:rsid w:val="00105D41"/>
    <w:rsid w:val="001143E0"/>
    <w:rsid w:val="00117E6B"/>
    <w:rsid w:val="001234A8"/>
    <w:rsid w:val="00124111"/>
    <w:rsid w:val="0012476C"/>
    <w:rsid w:val="00131AE5"/>
    <w:rsid w:val="001361F5"/>
    <w:rsid w:val="00141B15"/>
    <w:rsid w:val="00153B75"/>
    <w:rsid w:val="00170C78"/>
    <w:rsid w:val="00171E41"/>
    <w:rsid w:val="001875D6"/>
    <w:rsid w:val="00193676"/>
    <w:rsid w:val="001A468B"/>
    <w:rsid w:val="001C408B"/>
    <w:rsid w:val="001D22BC"/>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36684"/>
    <w:rsid w:val="0034672E"/>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807BA"/>
    <w:rsid w:val="00585149"/>
    <w:rsid w:val="00592CA7"/>
    <w:rsid w:val="005D0407"/>
    <w:rsid w:val="005D5B61"/>
    <w:rsid w:val="005F7E28"/>
    <w:rsid w:val="00607AD6"/>
    <w:rsid w:val="00607FE2"/>
    <w:rsid w:val="006237DB"/>
    <w:rsid w:val="00632DA2"/>
    <w:rsid w:val="0063423B"/>
    <w:rsid w:val="00651B6C"/>
    <w:rsid w:val="00662AA6"/>
    <w:rsid w:val="00666FF7"/>
    <w:rsid w:val="00675C77"/>
    <w:rsid w:val="0067758D"/>
    <w:rsid w:val="006A23C5"/>
    <w:rsid w:val="006A609F"/>
    <w:rsid w:val="006C168B"/>
    <w:rsid w:val="006D0593"/>
    <w:rsid w:val="006D1A8B"/>
    <w:rsid w:val="0070021A"/>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61C98"/>
    <w:rsid w:val="00873CEA"/>
    <w:rsid w:val="00873D8C"/>
    <w:rsid w:val="008740F5"/>
    <w:rsid w:val="008744B8"/>
    <w:rsid w:val="00896E51"/>
    <w:rsid w:val="008A5125"/>
    <w:rsid w:val="008A7035"/>
    <w:rsid w:val="008C096E"/>
    <w:rsid w:val="008D0FDA"/>
    <w:rsid w:val="008D61AA"/>
    <w:rsid w:val="008E33F9"/>
    <w:rsid w:val="008E4E76"/>
    <w:rsid w:val="008E7050"/>
    <w:rsid w:val="008F0EDD"/>
    <w:rsid w:val="008F4259"/>
    <w:rsid w:val="008F498A"/>
    <w:rsid w:val="008F5B4E"/>
    <w:rsid w:val="0091587C"/>
    <w:rsid w:val="00935663"/>
    <w:rsid w:val="00946047"/>
    <w:rsid w:val="00950B87"/>
    <w:rsid w:val="00964BDF"/>
    <w:rsid w:val="00965835"/>
    <w:rsid w:val="009669EF"/>
    <w:rsid w:val="00970F72"/>
    <w:rsid w:val="00971E98"/>
    <w:rsid w:val="009D184D"/>
    <w:rsid w:val="009E2E70"/>
    <w:rsid w:val="009E4F25"/>
    <w:rsid w:val="009E5619"/>
    <w:rsid w:val="009E5C1A"/>
    <w:rsid w:val="00A043B2"/>
    <w:rsid w:val="00A05C47"/>
    <w:rsid w:val="00A11B44"/>
    <w:rsid w:val="00A12F25"/>
    <w:rsid w:val="00A24D7E"/>
    <w:rsid w:val="00A26B59"/>
    <w:rsid w:val="00A274B6"/>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0A93"/>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4DFD"/>
    <w:rsid w:val="00C25BBB"/>
    <w:rsid w:val="00C26AE9"/>
    <w:rsid w:val="00C35DC6"/>
    <w:rsid w:val="00C4368A"/>
    <w:rsid w:val="00C60B94"/>
    <w:rsid w:val="00C63508"/>
    <w:rsid w:val="00C7594C"/>
    <w:rsid w:val="00C76F9B"/>
    <w:rsid w:val="00C772E7"/>
    <w:rsid w:val="00C84BA1"/>
    <w:rsid w:val="00C867E0"/>
    <w:rsid w:val="00CC2C19"/>
    <w:rsid w:val="00CC7275"/>
    <w:rsid w:val="00CF4951"/>
    <w:rsid w:val="00D06E57"/>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DF53E2"/>
    <w:rsid w:val="00E03733"/>
    <w:rsid w:val="00E067EC"/>
    <w:rsid w:val="00E12F2C"/>
    <w:rsid w:val="00E14D64"/>
    <w:rsid w:val="00E171BC"/>
    <w:rsid w:val="00E20CDD"/>
    <w:rsid w:val="00E32717"/>
    <w:rsid w:val="00E359D3"/>
    <w:rsid w:val="00E40A22"/>
    <w:rsid w:val="00E464A8"/>
    <w:rsid w:val="00E471A0"/>
    <w:rsid w:val="00E560B7"/>
    <w:rsid w:val="00E72545"/>
    <w:rsid w:val="00E810A6"/>
    <w:rsid w:val="00E85A1B"/>
    <w:rsid w:val="00E92328"/>
    <w:rsid w:val="00EA2A4A"/>
    <w:rsid w:val="00EB35E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paragraph" w:styleId="HTML-wstpniesformatowany">
    <w:name w:val="HTML Preformatted"/>
    <w:basedOn w:val="Normalny"/>
    <w:link w:val="HTML-wstpniesformatowanyZnak"/>
    <w:uiPriority w:val="99"/>
    <w:semiHidden/>
    <w:unhideWhenUsed/>
    <w:rsid w:val="00592CA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592CA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596987436">
      <w:bodyDiv w:val="1"/>
      <w:marLeft w:val="0"/>
      <w:marRight w:val="0"/>
      <w:marTop w:val="0"/>
      <w:marBottom w:val="0"/>
      <w:divBdr>
        <w:top w:val="none" w:sz="0" w:space="0" w:color="auto"/>
        <w:left w:val="none" w:sz="0" w:space="0" w:color="auto"/>
        <w:bottom w:val="none" w:sz="0" w:space="0" w:color="auto"/>
        <w:right w:val="none" w:sz="0" w:space="0" w:color="auto"/>
      </w:divBdr>
    </w:div>
    <w:div w:id="1586648397">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15</Pages>
  <Words>5159</Words>
  <Characters>30955</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82</cp:revision>
  <dcterms:created xsi:type="dcterms:W3CDTF">2021-08-22T19:09:00Z</dcterms:created>
  <dcterms:modified xsi:type="dcterms:W3CDTF">2022-08-26T09:02:00Z</dcterms:modified>
</cp:coreProperties>
</file>