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5ACBFF0"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790BFB">
        <w:rPr>
          <w:rFonts w:asciiTheme="minorHAnsi" w:eastAsia="Calibri" w:hAnsiTheme="minorHAnsi" w:cstheme="minorHAnsi"/>
          <w:b/>
          <w:color w:val="auto"/>
          <w:sz w:val="22"/>
          <w:lang w:eastAsia="en-US"/>
        </w:rPr>
        <w:t>Dostawa</w:t>
      </w:r>
      <w:r w:rsidR="003878A0" w:rsidRPr="003878A0">
        <w:rPr>
          <w:rFonts w:asciiTheme="minorHAnsi" w:eastAsia="Calibri" w:hAnsiTheme="minorHAnsi" w:cstheme="minorHAnsi"/>
          <w:b/>
          <w:color w:val="auto"/>
          <w:sz w:val="22"/>
          <w:lang w:eastAsia="en-US"/>
        </w:rPr>
        <w:t xml:space="preserve"> </w:t>
      </w:r>
      <w:r w:rsidR="003878A0">
        <w:rPr>
          <w:rFonts w:asciiTheme="minorHAnsi" w:eastAsia="Calibri" w:hAnsiTheme="minorHAnsi" w:cstheme="minorHAnsi"/>
          <w:b/>
          <w:color w:val="auto"/>
          <w:sz w:val="22"/>
          <w:lang w:eastAsia="en-US"/>
        </w:rPr>
        <w:t>kontenerów do obsługi PSZOK w Perlejewie</w:t>
      </w:r>
      <w:r w:rsidRPr="00F23D8E">
        <w:rPr>
          <w:rFonts w:asciiTheme="minorHAnsi" w:eastAsia="Calibri" w:hAnsiTheme="minorHAnsi" w:cstheme="minorHAnsi"/>
          <w:b/>
          <w:bCs/>
          <w:color w:val="auto"/>
          <w:sz w:val="22"/>
        </w:rPr>
        <w:t>”</w:t>
      </w:r>
    </w:p>
    <w:p w14:paraId="667B9137" w14:textId="1E65CF48"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(Znak postępowania</w:t>
      </w:r>
      <w:r w:rsidRPr="00032B9A">
        <w:rPr>
          <w:rFonts w:ascii="Calibri" w:eastAsia="Calibri" w:hAnsi="Calibri" w:cs="Times New Roman"/>
          <w:color w:val="auto"/>
          <w:sz w:val="22"/>
          <w:lang w:eastAsia="en-US"/>
        </w:rPr>
        <w:t xml:space="preserve">: </w:t>
      </w:r>
      <w:r w:rsidR="00082310" w:rsidRPr="00032B9A">
        <w:rPr>
          <w:rFonts w:ascii="Calibri" w:eastAsia="Calibri" w:hAnsi="Calibri" w:cs="Times New Roman"/>
          <w:b/>
          <w:color w:val="auto"/>
          <w:sz w:val="22"/>
          <w:lang w:eastAsia="en-US"/>
        </w:rPr>
        <w:t>GP.271.1.</w:t>
      </w:r>
      <w:r w:rsidR="009F68F4">
        <w:rPr>
          <w:rFonts w:ascii="Calibri" w:eastAsia="Calibri" w:hAnsi="Calibri" w:cs="Times New Roman"/>
          <w:b/>
          <w:color w:val="auto"/>
          <w:sz w:val="22"/>
          <w:lang w:eastAsia="en-US"/>
        </w:rPr>
        <w:t>9</w:t>
      </w:r>
      <w:r w:rsidR="004E2F9E" w:rsidRPr="00032B9A">
        <w:rPr>
          <w:rFonts w:ascii="Calibri" w:eastAsia="Calibri" w:hAnsi="Calibri" w:cs="Times New Roman"/>
          <w:b/>
          <w:color w:val="auto"/>
          <w:sz w:val="22"/>
          <w:lang w:eastAsia="en-US"/>
        </w:rPr>
        <w:t>.2021</w:t>
      </w:r>
      <w:r w:rsidRPr="00032B9A">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B873890"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6C7CD5">
        <w:rPr>
          <w:rFonts w:ascii="Calibri" w:eastAsia="Calibri" w:hAnsi="Calibri" w:cs="Times New Roman"/>
          <w:color w:val="auto"/>
          <w:sz w:val="22"/>
          <w:lang w:eastAsia="en-US"/>
        </w:rPr>
        <w:t>10 grudnia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6AC6E873"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032B9A">
        <w:rPr>
          <w:rFonts w:asciiTheme="minorHAnsi" w:hAnsiTheme="minorHAnsi" w:cstheme="minorHAnsi"/>
          <w:b/>
          <w:bCs/>
          <w:color w:val="auto"/>
          <w:sz w:val="22"/>
        </w:rPr>
        <w:t>GP.271.1.</w:t>
      </w:r>
      <w:r w:rsidR="009F68F4">
        <w:rPr>
          <w:rFonts w:asciiTheme="minorHAnsi" w:hAnsiTheme="minorHAnsi" w:cstheme="minorHAnsi"/>
          <w:b/>
          <w:bCs/>
          <w:color w:val="auto"/>
          <w:sz w:val="22"/>
        </w:rPr>
        <w:t>9</w:t>
      </w:r>
      <w:r w:rsidR="00D6336F" w:rsidRPr="00032B9A">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33CB5619"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w:t>
      </w:r>
      <w:r w:rsidR="008A0FCD">
        <w:rPr>
          <w:rFonts w:asciiTheme="minorHAnsi" w:hAnsiTheme="minorHAnsi" w:cstheme="minorHAnsi"/>
          <w:bCs/>
          <w:sz w:val="22"/>
        </w:rPr>
        <w:t>.</w:t>
      </w:r>
      <w:r w:rsidR="00EB509E">
        <w:rPr>
          <w:rFonts w:asciiTheme="minorHAnsi" w:hAnsiTheme="minorHAnsi" w:cstheme="minorHAnsi"/>
          <w:bCs/>
          <w:sz w:val="22"/>
        </w:rPr>
        <w:t xml:space="preserve"> </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t xml:space="preserve">PRZEDMIOT ZAMÓWIENIA </w:t>
      </w:r>
    </w:p>
    <w:p w14:paraId="7A177684" w14:textId="5A797E1F" w:rsidR="00036EF4" w:rsidRPr="00036EF4" w:rsidRDefault="00036EF4" w:rsidP="00036EF4">
      <w:pPr>
        <w:numPr>
          <w:ilvl w:val="1"/>
          <w:numId w:val="1"/>
        </w:numPr>
        <w:ind w:left="720" w:right="337" w:firstLine="0"/>
        <w:rPr>
          <w:rFonts w:asciiTheme="minorHAnsi" w:hAnsiTheme="minorHAnsi" w:cstheme="minorHAnsi"/>
          <w:sz w:val="22"/>
        </w:rPr>
      </w:pPr>
      <w:r>
        <w:rPr>
          <w:rFonts w:asciiTheme="minorHAnsi" w:hAnsiTheme="minorHAnsi" w:cstheme="minorHAnsi"/>
          <w:sz w:val="22"/>
        </w:rPr>
        <w:lastRenderedPageBreak/>
        <w:t xml:space="preserve">Przedmiot zamówienia obejmuje dostawę </w:t>
      </w:r>
      <w:r w:rsidRPr="00036EF4">
        <w:rPr>
          <w:rFonts w:asciiTheme="minorHAnsi" w:hAnsiTheme="minorHAnsi" w:cstheme="minorHAnsi"/>
          <w:sz w:val="22"/>
        </w:rPr>
        <w:t>12 szt. kontenerów do obsługi Punktu Selektywnej Zbiórki Odpadów Komunalnych w Perlejewie, dostosowanych do przyczepy hakowej ciągnikowej, umożliwiające segregację odpadów komunalnych.</w:t>
      </w:r>
    </w:p>
    <w:p w14:paraId="1983F873" w14:textId="18DC3048" w:rsidR="00001B8D" w:rsidRPr="00BB1432" w:rsidRDefault="00001B8D">
      <w:pPr>
        <w:ind w:left="716" w:right="337"/>
        <w:rPr>
          <w:rFonts w:asciiTheme="minorHAnsi" w:hAnsiTheme="minorHAnsi" w:cstheme="minorHAnsi"/>
          <w:sz w:val="22"/>
        </w:rPr>
      </w:pPr>
    </w:p>
    <w:p w14:paraId="5B2E33C4" w14:textId="44F81E65" w:rsidR="00153B75" w:rsidRDefault="001875D6">
      <w:pPr>
        <w:ind w:left="716" w:right="337"/>
        <w:rPr>
          <w:rFonts w:asciiTheme="minorHAnsi" w:hAnsiTheme="minorHAnsi" w:cstheme="minorHAnsi"/>
          <w:sz w:val="22"/>
        </w:rPr>
      </w:pPr>
      <w:r w:rsidRPr="00E43816">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9C502B">
        <w:rPr>
          <w:rFonts w:asciiTheme="minorHAnsi" w:hAnsiTheme="minorHAnsi" w:cstheme="minorHAnsi"/>
          <w:sz w:val="22"/>
        </w:rPr>
        <w:t xml:space="preserve">Niniejszy przedmiot zamówienia stanowi część (unieważnioną) wcześniej przeprowadzonego przez Zamawiającego postępowania pn. </w:t>
      </w:r>
      <w:r w:rsidR="009C502B" w:rsidRPr="009C502B">
        <w:rPr>
          <w:rFonts w:asciiTheme="minorHAnsi" w:hAnsiTheme="minorHAnsi" w:cstheme="minorHAnsi"/>
          <w:sz w:val="22"/>
        </w:rPr>
        <w:t>„Dostawa elektronicznej, najazdowej, stalowo - betonowej wagi samochodowej oraz kontenerów do obsługi PSZOK w Perlejewie”</w:t>
      </w:r>
      <w:r w:rsidR="009C502B">
        <w:rPr>
          <w:rFonts w:asciiTheme="minorHAnsi" w:hAnsiTheme="minorHAnsi" w:cstheme="minorHAnsi"/>
          <w:sz w:val="22"/>
        </w:rPr>
        <w:t>. Ponadto jego niewielki zakres i wartość szacunkowa umożliwiają złożenie ofert firmom ze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6EF752CD" w:rsidR="00153B75" w:rsidRPr="008D0FDA" w:rsidRDefault="00036EF4" w:rsidP="00F304BA">
      <w:pPr>
        <w:ind w:left="718" w:right="337"/>
        <w:rPr>
          <w:rFonts w:asciiTheme="minorHAnsi" w:hAnsiTheme="minorHAnsi" w:cstheme="minorHAnsi"/>
          <w:bCs/>
          <w:sz w:val="22"/>
        </w:rPr>
      </w:pPr>
      <w:r w:rsidRPr="00036EF4">
        <w:rPr>
          <w:rFonts w:asciiTheme="minorHAnsi" w:hAnsiTheme="minorHAnsi" w:cstheme="minorHAnsi"/>
          <w:bCs/>
          <w:sz w:val="22"/>
        </w:rPr>
        <w:t>34928480-6 Pojemniki i kosze na odpady i śmieci</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17043F6F" w:rsidR="007F7033" w:rsidRDefault="00036EF4"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4AC427F8"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 xml:space="preserve">w </w:t>
      </w:r>
      <w:r w:rsidR="00BC7BAD" w:rsidRPr="00BC7BAD">
        <w:rPr>
          <w:rFonts w:asciiTheme="minorHAnsi" w:hAnsiTheme="minorHAnsi" w:cstheme="minorHAnsi"/>
          <w:b/>
          <w:bCs/>
          <w:sz w:val="22"/>
        </w:rPr>
        <w:t>Załącznik</w:t>
      </w:r>
      <w:r w:rsidR="009C502B">
        <w:rPr>
          <w:rFonts w:asciiTheme="minorHAnsi" w:hAnsiTheme="minorHAnsi" w:cstheme="minorHAnsi"/>
          <w:b/>
          <w:bCs/>
          <w:sz w:val="22"/>
        </w:rPr>
        <w:t>u nr 1</w:t>
      </w:r>
      <w:r w:rsidR="00BC7BAD" w:rsidRPr="00BC7BAD">
        <w:rPr>
          <w:rFonts w:asciiTheme="minorHAnsi" w:hAnsiTheme="minorHAnsi" w:cstheme="minorHAnsi"/>
          <w:b/>
          <w:bCs/>
          <w:sz w:val="22"/>
        </w:rPr>
        <w:t xml:space="preserve"> do SWZ</w:t>
      </w:r>
      <w:r w:rsidR="00BC7BAD">
        <w:rPr>
          <w:rFonts w:asciiTheme="minorHAnsi" w:hAnsiTheme="minorHAnsi" w:cstheme="minorHAnsi"/>
          <w:sz w:val="22"/>
        </w:rPr>
        <w:t xml:space="preserve"> oraz </w:t>
      </w:r>
      <w:r w:rsidR="00946047" w:rsidRPr="00946047">
        <w:rPr>
          <w:rFonts w:asciiTheme="minorHAnsi" w:hAnsiTheme="minorHAnsi" w:cstheme="minorHAnsi"/>
          <w:sz w:val="22"/>
        </w:rPr>
        <w:t>projektowanych postanowieniach um</w:t>
      </w:r>
      <w:r w:rsidR="009C502B">
        <w:rPr>
          <w:rFonts w:asciiTheme="minorHAnsi" w:hAnsiTheme="minorHAnsi" w:cstheme="minorHAnsi"/>
          <w:sz w:val="22"/>
        </w:rPr>
        <w:t>owy</w:t>
      </w:r>
      <w:r w:rsidR="00946047" w:rsidRPr="00946047">
        <w:rPr>
          <w:rFonts w:asciiTheme="minorHAnsi" w:hAnsiTheme="minorHAnsi" w:cstheme="minorHAnsi"/>
          <w:sz w:val="22"/>
        </w:rPr>
        <w:t xml:space="preserve"> w sprawie zamówienia publicznego, któr</w:t>
      </w:r>
      <w:r w:rsidR="009C502B">
        <w:rPr>
          <w:rFonts w:asciiTheme="minorHAnsi" w:hAnsiTheme="minorHAnsi" w:cstheme="minorHAnsi"/>
          <w:sz w:val="22"/>
        </w:rPr>
        <w:t>e</w:t>
      </w:r>
      <w:r w:rsidR="00946047" w:rsidRPr="00946047">
        <w:rPr>
          <w:rFonts w:asciiTheme="minorHAnsi" w:hAnsiTheme="minorHAnsi" w:cstheme="minorHAnsi"/>
          <w:sz w:val="22"/>
        </w:rPr>
        <w:t xml:space="preserve"> zostaną wprowadzone do treści um</w:t>
      </w:r>
      <w:r w:rsidR="009C502B">
        <w:rPr>
          <w:rFonts w:asciiTheme="minorHAnsi" w:hAnsiTheme="minorHAnsi" w:cstheme="minorHAnsi"/>
          <w:sz w:val="22"/>
        </w:rPr>
        <w:t>owy</w:t>
      </w:r>
      <w:r w:rsidR="003D0950">
        <w:rPr>
          <w:rFonts w:asciiTheme="minorHAnsi" w:hAnsiTheme="minorHAnsi" w:cstheme="minorHAnsi"/>
          <w:sz w:val="22"/>
        </w:rPr>
        <w:t xml:space="preserve"> </w:t>
      </w:r>
      <w:r w:rsidR="003D0950" w:rsidRPr="003D0950">
        <w:rPr>
          <w:rFonts w:asciiTheme="minorHAnsi" w:hAnsiTheme="minorHAnsi" w:cstheme="minorHAnsi"/>
          <w:b/>
          <w:bCs/>
          <w:sz w:val="22"/>
        </w:rPr>
        <w:t>(Załącznik nr 2 do SWZ)</w:t>
      </w:r>
      <w:r w:rsidR="003D0950">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lastRenderedPageBreak/>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1A4145AD" w:rsidR="00153B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w:t>
      </w:r>
    </w:p>
    <w:p w14:paraId="5F31361E" w14:textId="2FD9AD82"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w:t>
      </w:r>
      <w:r w:rsidR="000F3B80">
        <w:rPr>
          <w:rFonts w:asciiTheme="minorHAnsi" w:hAnsiTheme="minorHAnsi" w:cstheme="minorHAnsi"/>
          <w:sz w:val="22"/>
        </w:rPr>
        <w:t>8</w:t>
      </w:r>
      <w:r w:rsidRPr="00FB0875">
        <w:rPr>
          <w:rFonts w:asciiTheme="minorHAnsi" w:hAnsiTheme="minorHAnsi" w:cstheme="minorHAnsi"/>
          <w:sz w:val="22"/>
        </w:rPr>
        <w:t xml:space="preserve"> ustawy</w:t>
      </w:r>
      <w:r w:rsidR="000F3B80">
        <w:rPr>
          <w:rFonts w:asciiTheme="minorHAnsi" w:hAnsiTheme="minorHAnsi" w:cstheme="minorHAnsi"/>
          <w:sz w:val="22"/>
        </w:rPr>
        <w:t>.</w:t>
      </w:r>
      <w:r w:rsidRPr="00FB0875">
        <w:rPr>
          <w:rFonts w:asciiTheme="minorHAnsi" w:hAnsiTheme="minorHAnsi" w:cstheme="minorHAnsi"/>
          <w:sz w:val="22"/>
        </w:rPr>
        <w:t xml:space="preserve">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76D63028" w14:textId="7288C173" w:rsidR="00483A00" w:rsidRPr="00483A00" w:rsidRDefault="00A24D7E" w:rsidP="00483A00">
      <w:pPr>
        <w:pStyle w:val="Akapitzlist"/>
        <w:numPr>
          <w:ilvl w:val="1"/>
          <w:numId w:val="1"/>
        </w:numPr>
        <w:ind w:left="709" w:right="337"/>
        <w:rPr>
          <w:rFonts w:asciiTheme="minorHAnsi" w:hAnsiTheme="minorHAnsi" w:cstheme="minorHAnsi"/>
          <w:b/>
          <w:bCs/>
          <w:color w:val="auto"/>
          <w:sz w:val="22"/>
        </w:rPr>
      </w:pPr>
      <w:r w:rsidRPr="00483A00">
        <w:rPr>
          <w:rFonts w:asciiTheme="minorHAnsi" w:hAnsiTheme="minorHAnsi" w:cstheme="minorHAnsi"/>
          <w:sz w:val="22"/>
        </w:rPr>
        <w:t xml:space="preserve">Wykonawca jest zobowiązany wykonać zamówienie w </w:t>
      </w:r>
      <w:r w:rsidRPr="00483A00">
        <w:rPr>
          <w:rFonts w:asciiTheme="minorHAnsi" w:hAnsiTheme="minorHAnsi" w:cstheme="minorHAnsi"/>
          <w:color w:val="auto"/>
          <w:sz w:val="22"/>
        </w:rPr>
        <w:t>terminie</w:t>
      </w:r>
      <w:r w:rsidR="00FB5901" w:rsidRPr="00FB5901">
        <w:rPr>
          <w:rFonts w:asciiTheme="minorHAnsi" w:hAnsiTheme="minorHAnsi" w:cstheme="minorHAnsi"/>
          <w:b/>
          <w:bCs/>
          <w:color w:val="auto"/>
          <w:sz w:val="22"/>
        </w:rPr>
        <w:t xml:space="preserve"> do </w:t>
      </w:r>
      <w:r w:rsidR="00C32199">
        <w:rPr>
          <w:rFonts w:asciiTheme="minorHAnsi" w:hAnsiTheme="minorHAnsi" w:cstheme="minorHAnsi"/>
          <w:b/>
          <w:bCs/>
          <w:color w:val="auto"/>
          <w:sz w:val="22"/>
        </w:rPr>
        <w:t>30 marca 2022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329129D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lastRenderedPageBreak/>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8142DB">
        <w:rPr>
          <w:rFonts w:asciiTheme="minorHAnsi" w:hAnsiTheme="minorHAnsi" w:cstheme="minorHAnsi"/>
          <w:b/>
          <w:sz w:val="22"/>
        </w:rPr>
        <w:t xml:space="preserve"> </w:t>
      </w:r>
      <w:r w:rsidR="008142DB" w:rsidRPr="008142DB">
        <w:rPr>
          <w:rFonts w:asciiTheme="minorHAnsi" w:hAnsiTheme="minorHAnsi" w:cstheme="minorHAnsi"/>
          <w:bCs/>
          <w:sz w:val="22"/>
        </w:rPr>
        <w:t>„Nie dotyczy”</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4115461D"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r w:rsidR="008142DB" w:rsidRPr="008142DB">
        <w:rPr>
          <w:rFonts w:asciiTheme="minorHAnsi" w:hAnsiTheme="minorHAnsi" w:cstheme="minorHAnsi"/>
          <w:bCs/>
          <w:sz w:val="22"/>
        </w:rPr>
        <w:t>„Nie dotyczy”</w:t>
      </w:r>
    </w:p>
    <w:p w14:paraId="0707C964" w14:textId="77777777" w:rsidR="00E72545" w:rsidRPr="008A5125" w:rsidRDefault="00E72545" w:rsidP="00E72545">
      <w:pPr>
        <w:pStyle w:val="Akapitzlist"/>
        <w:spacing w:after="128"/>
        <w:ind w:left="1353" w:right="337" w:firstLine="0"/>
        <w:rPr>
          <w:rFonts w:asciiTheme="minorHAnsi" w:hAnsiTheme="minorHAnsi" w:cstheme="minorHAnsi"/>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173AA25D"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postępowaniu </w:t>
      </w:r>
      <w:r w:rsidR="008142DB" w:rsidRPr="008142DB">
        <w:rPr>
          <w:rFonts w:asciiTheme="minorHAnsi" w:hAnsiTheme="minorHAnsi" w:cstheme="minorHAnsi"/>
          <w:b/>
          <w:bCs/>
          <w:sz w:val="22"/>
        </w:rPr>
        <w:t>nie</w:t>
      </w:r>
      <w:r w:rsidR="008142DB">
        <w:rPr>
          <w:rFonts w:asciiTheme="minorHAnsi" w:hAnsiTheme="minorHAnsi" w:cstheme="minorHAnsi"/>
          <w:sz w:val="22"/>
        </w:rPr>
        <w:t xml:space="preserve">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4D9ED93E"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8142DB">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6A07430"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8142DB">
        <w:rPr>
          <w:rFonts w:asciiTheme="minorHAnsi" w:hAnsiTheme="minorHAnsi" w:cstheme="minorHAnsi"/>
          <w:sz w:val="22"/>
        </w:rPr>
        <w:t xml:space="preserve"> „Nie dotyczy”</w:t>
      </w:r>
    </w:p>
    <w:p w14:paraId="754C6F10" w14:textId="2C3F440C" w:rsidR="009E2E70" w:rsidRPr="008142DB" w:rsidRDefault="001875D6" w:rsidP="000F4E27">
      <w:pPr>
        <w:pStyle w:val="Akapitzlist"/>
        <w:numPr>
          <w:ilvl w:val="1"/>
          <w:numId w:val="1"/>
        </w:numPr>
        <w:ind w:right="337" w:hanging="852"/>
        <w:rPr>
          <w:rFonts w:asciiTheme="minorHAnsi" w:hAnsiTheme="minorHAnsi" w:cstheme="minorHAnsi"/>
          <w:sz w:val="22"/>
        </w:rPr>
      </w:pPr>
      <w:r w:rsidRPr="008142DB">
        <w:rPr>
          <w:rFonts w:asciiTheme="minorHAnsi" w:hAnsiTheme="minorHAnsi" w:cstheme="minorHAnsi"/>
          <w:sz w:val="22"/>
        </w:rPr>
        <w:t xml:space="preserve"> </w:t>
      </w:r>
      <w:r w:rsidR="009E2E70" w:rsidRPr="008142DB">
        <w:rPr>
          <w:rFonts w:asciiTheme="minorHAnsi" w:hAnsiTheme="minorHAnsi" w:cstheme="minorHAnsi"/>
          <w:sz w:val="22"/>
        </w:rPr>
        <w:t xml:space="preserve">W celu potwierdzenia spełniania przez Wykonawcę </w:t>
      </w:r>
      <w:r w:rsidR="009E2E70" w:rsidRPr="008142DB">
        <w:rPr>
          <w:rFonts w:asciiTheme="minorHAnsi" w:hAnsiTheme="minorHAnsi" w:cstheme="minorHAnsi"/>
          <w:b/>
          <w:bCs/>
          <w:sz w:val="22"/>
        </w:rPr>
        <w:t>warunków udziału w postępowaniu</w:t>
      </w:r>
      <w:r w:rsidR="009E2E70" w:rsidRPr="008142DB">
        <w:rPr>
          <w:rFonts w:asciiTheme="minorHAnsi" w:hAnsiTheme="minorHAnsi" w:cstheme="minorHAnsi"/>
          <w:sz w:val="22"/>
        </w:rPr>
        <w:t xml:space="preserve"> Wykonawca będzie zobowiązany przedłożyć:</w:t>
      </w:r>
      <w:r w:rsidR="008142DB">
        <w:rPr>
          <w:rFonts w:asciiTheme="minorHAnsi" w:hAnsiTheme="minorHAnsi" w:cstheme="minorHAnsi"/>
          <w:sz w:val="22"/>
        </w:rPr>
        <w:t xml:space="preserve"> „Nie dotyczy”</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może w celu potwierdzenia spełniania warunków udziału w postępowaniu, w stosownych sytuacjach oraz w odniesieniu do konkretnego </w:t>
      </w:r>
      <w:r w:rsidRPr="00D6516E">
        <w:rPr>
          <w:rFonts w:asciiTheme="minorHAnsi" w:hAnsiTheme="minorHAnsi" w:cstheme="minorHAnsi"/>
          <w:sz w:val="22"/>
        </w:rPr>
        <w:lastRenderedPageBreak/>
        <w:t>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39080B9A"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8142DB">
        <w:rPr>
          <w:rFonts w:asciiTheme="minorHAnsi" w:hAnsiTheme="minorHAnsi" w:cstheme="minorHAnsi"/>
          <w:b/>
          <w:bCs/>
          <w:sz w:val="22"/>
        </w:rPr>
        <w:t>5</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5E04FA08"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541B7227"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008142DB">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3007DC58" w:rsidR="00DF15E4" w:rsidRPr="00B63180" w:rsidRDefault="00D53E06" w:rsidP="000A31E0">
      <w:pPr>
        <w:pStyle w:val="Akapitzlist"/>
        <w:numPr>
          <w:ilvl w:val="0"/>
          <w:numId w:val="20"/>
        </w:numPr>
        <w:ind w:left="1843" w:right="337" w:hanging="283"/>
        <w:rPr>
          <w:rFonts w:asciiTheme="minorHAnsi" w:hAnsiTheme="minorHAnsi" w:cstheme="minorHAnsi"/>
          <w:color w:val="auto"/>
          <w:sz w:val="22"/>
        </w:rPr>
      </w:pPr>
      <w:r>
        <w:rPr>
          <w:rFonts w:asciiTheme="minorHAnsi" w:hAnsiTheme="minorHAnsi" w:cstheme="minorHAnsi"/>
          <w:color w:val="auto"/>
          <w:sz w:val="22"/>
        </w:rPr>
        <w:t xml:space="preserve">Pan </w:t>
      </w:r>
      <w:r w:rsidR="00FB5901">
        <w:rPr>
          <w:rFonts w:asciiTheme="minorHAnsi" w:hAnsiTheme="minorHAnsi" w:cstheme="minorHAnsi"/>
          <w:color w:val="auto"/>
          <w:sz w:val="22"/>
        </w:rPr>
        <w:t xml:space="preserve">Jarosław </w:t>
      </w:r>
      <w:proofErr w:type="spellStart"/>
      <w:r w:rsidR="00FB5901">
        <w:rPr>
          <w:rFonts w:asciiTheme="minorHAnsi" w:hAnsiTheme="minorHAnsi" w:cstheme="minorHAnsi"/>
          <w:color w:val="auto"/>
          <w:sz w:val="22"/>
        </w:rPr>
        <w:t>Oksztul</w:t>
      </w:r>
      <w:proofErr w:type="spellEnd"/>
      <w:r w:rsidR="00B2198A" w:rsidRPr="00B63180">
        <w:rPr>
          <w:rFonts w:asciiTheme="minorHAnsi" w:hAnsiTheme="minorHAnsi" w:cstheme="minorHAnsi"/>
          <w:color w:val="auto"/>
          <w:sz w:val="22"/>
        </w:rPr>
        <w:t xml:space="preserve"> – w sprawach dotyczących przedmiotu zamówienia </w:t>
      </w:r>
      <w:r w:rsidR="00B2198A" w:rsidRPr="003910E9">
        <w:rPr>
          <w:rFonts w:asciiTheme="minorHAnsi" w:hAnsiTheme="minorHAnsi" w:cstheme="minorHAnsi"/>
          <w:bCs/>
          <w:color w:val="auto"/>
          <w:sz w:val="22"/>
        </w:rPr>
        <w:t>tel.</w:t>
      </w:r>
      <w:r w:rsidR="00B2198A" w:rsidRPr="00B63180">
        <w:rPr>
          <w:rFonts w:asciiTheme="minorHAnsi" w:hAnsiTheme="minorHAnsi" w:cstheme="minorHAnsi"/>
          <w:b/>
          <w:color w:val="auto"/>
          <w:sz w:val="22"/>
        </w:rPr>
        <w:t xml:space="preserve">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 xml:space="preserve">6578515 wew. </w:t>
      </w:r>
      <w:r w:rsidR="00AF2505">
        <w:rPr>
          <w:rFonts w:asciiTheme="minorHAnsi" w:hAnsiTheme="minorHAnsi" w:cstheme="minorHAnsi"/>
          <w:bCs/>
          <w:color w:val="auto"/>
          <w:sz w:val="22"/>
        </w:rPr>
        <w:t>23.</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lastRenderedPageBreak/>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04C716B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lastRenderedPageBreak/>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711FDD7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3910E9">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528A7780"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w:t>
      </w:r>
      <w:r w:rsidR="00716EA4">
        <w:rPr>
          <w:rFonts w:asciiTheme="minorHAnsi" w:hAnsiTheme="minorHAnsi" w:cstheme="minorHAnsi"/>
          <w:b/>
          <w:bCs/>
          <w:sz w:val="22"/>
        </w:rPr>
        <w:t xml:space="preserve">nie </w:t>
      </w:r>
      <w:r w:rsidRPr="00DF15E4">
        <w:rPr>
          <w:rFonts w:asciiTheme="minorHAnsi" w:hAnsiTheme="minorHAnsi" w:cstheme="minorHAnsi"/>
          <w:b/>
          <w:bCs/>
          <w:sz w:val="22"/>
        </w:rPr>
        <w:t xml:space="preserve">musi być zabezpieczona wadium. </w:t>
      </w:r>
    </w:p>
    <w:p w14:paraId="388A990A" w14:textId="0B05F52F"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716EA4">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B17E40B"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73EB2DA"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 xml:space="preserve">Zamawiający może je uzyskać w szczególności za pomocą bezpłatnych i ogólnodostępnych baz danych, w szczególności rejestrów publicznych w rozumieniu ustawy z dnia 17 lutego </w:t>
      </w:r>
      <w:r w:rsidR="00086FB8" w:rsidRPr="00086FB8">
        <w:rPr>
          <w:rFonts w:asciiTheme="minorHAnsi" w:hAnsiTheme="minorHAnsi" w:cstheme="minorHAnsi"/>
          <w:sz w:val="22"/>
        </w:rPr>
        <w:lastRenderedPageBreak/>
        <w:t xml:space="preserve">2005 r. o informatyzacji działalności podmiotów realizujących zadania publiczne </w:t>
      </w:r>
      <w:r w:rsidR="006C7CD5">
        <w:rPr>
          <w:rFonts w:asciiTheme="minorHAnsi" w:hAnsiTheme="minorHAnsi" w:cstheme="minorHAnsi"/>
          <w:sz w:val="22"/>
        </w:rPr>
        <w:t>(</w:t>
      </w:r>
      <w:proofErr w:type="spellStart"/>
      <w:r w:rsidR="006C7CD5" w:rsidRPr="006C7CD5">
        <w:rPr>
          <w:rFonts w:asciiTheme="minorHAnsi" w:hAnsiTheme="minorHAnsi" w:cstheme="minorHAnsi"/>
          <w:sz w:val="22"/>
        </w:rPr>
        <w:t>t.j</w:t>
      </w:r>
      <w:proofErr w:type="spellEnd"/>
      <w:r w:rsidR="006C7CD5" w:rsidRPr="006C7CD5">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 xml:space="preserve">podpisem zaufanym lub podpisem </w:t>
      </w:r>
      <w:r w:rsidRPr="00256F61">
        <w:rPr>
          <w:rFonts w:asciiTheme="minorHAnsi" w:hAnsiTheme="minorHAnsi" w:cstheme="minorHAnsi"/>
          <w:b/>
          <w:sz w:val="22"/>
        </w:rPr>
        <w:lastRenderedPageBreak/>
        <w:t>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70501EC"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716EA4">
        <w:rPr>
          <w:rFonts w:asciiTheme="minorHAnsi" w:hAnsiTheme="minorHAnsi" w:cstheme="minorHAnsi"/>
          <w:b/>
          <w:sz w:val="22"/>
        </w:rPr>
        <w:t>3</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lastRenderedPageBreak/>
        <w:t xml:space="preserve">MIEJSCE ORAZ TERMIN SKŁADANIA I OTWARCIA OFERT </w:t>
      </w:r>
    </w:p>
    <w:p w14:paraId="5267BA0B" w14:textId="137DB159" w:rsidR="00153B75" w:rsidRPr="00032B9A"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w:t>
      </w:r>
      <w:r w:rsidRPr="00032B9A">
        <w:rPr>
          <w:rFonts w:asciiTheme="minorHAnsi" w:hAnsiTheme="minorHAnsi" w:cstheme="minorHAnsi"/>
          <w:bCs/>
          <w:sz w:val="22"/>
        </w:rPr>
        <w:t xml:space="preserve">dostępnego na </w:t>
      </w:r>
      <w:proofErr w:type="spellStart"/>
      <w:r w:rsidRPr="00032B9A">
        <w:rPr>
          <w:rFonts w:asciiTheme="minorHAnsi" w:hAnsiTheme="minorHAnsi" w:cstheme="minorHAnsi"/>
          <w:bCs/>
          <w:sz w:val="22"/>
        </w:rPr>
        <w:t>ePUAP</w:t>
      </w:r>
      <w:proofErr w:type="spellEnd"/>
      <w:r w:rsidRPr="00032B9A">
        <w:rPr>
          <w:rFonts w:asciiTheme="minorHAnsi" w:hAnsiTheme="minorHAnsi" w:cstheme="minorHAnsi"/>
          <w:bCs/>
          <w:sz w:val="22"/>
        </w:rPr>
        <w:t xml:space="preserve"> i udostępnionego również na </w:t>
      </w:r>
      <w:proofErr w:type="spellStart"/>
      <w:r w:rsidRPr="00032B9A">
        <w:rPr>
          <w:rFonts w:asciiTheme="minorHAnsi" w:hAnsiTheme="minorHAnsi" w:cstheme="minorHAnsi"/>
          <w:bCs/>
          <w:sz w:val="22"/>
        </w:rPr>
        <w:t>miniPortalu</w:t>
      </w:r>
      <w:proofErr w:type="spellEnd"/>
      <w:r w:rsidR="001875D6" w:rsidRPr="00032B9A">
        <w:rPr>
          <w:rFonts w:asciiTheme="minorHAnsi" w:hAnsiTheme="minorHAnsi" w:cstheme="minorHAnsi"/>
          <w:bCs/>
          <w:sz w:val="22"/>
        </w:rPr>
        <w:t xml:space="preserve"> w terminie do dnia </w:t>
      </w:r>
      <w:r w:rsidR="003E30DB">
        <w:rPr>
          <w:rFonts w:asciiTheme="minorHAnsi" w:hAnsiTheme="minorHAnsi" w:cstheme="minorHAnsi"/>
          <w:b/>
          <w:bCs/>
          <w:sz w:val="22"/>
        </w:rPr>
        <w:t>17.12</w:t>
      </w:r>
      <w:r w:rsidR="001875D6" w:rsidRPr="00032B9A">
        <w:rPr>
          <w:rFonts w:asciiTheme="minorHAnsi" w:hAnsiTheme="minorHAnsi" w:cstheme="minorHAnsi"/>
          <w:b/>
          <w:sz w:val="22"/>
        </w:rPr>
        <w:t>.202</w:t>
      </w:r>
      <w:r w:rsidRPr="00032B9A">
        <w:rPr>
          <w:rFonts w:asciiTheme="minorHAnsi" w:hAnsiTheme="minorHAnsi" w:cstheme="minorHAnsi"/>
          <w:b/>
          <w:sz w:val="22"/>
        </w:rPr>
        <w:t>1</w:t>
      </w:r>
      <w:r w:rsidR="001875D6" w:rsidRPr="00032B9A">
        <w:rPr>
          <w:rFonts w:asciiTheme="minorHAnsi" w:hAnsiTheme="minorHAnsi" w:cstheme="minorHAnsi"/>
          <w:b/>
          <w:sz w:val="22"/>
        </w:rPr>
        <w:t xml:space="preserve"> r. do godz. </w:t>
      </w:r>
      <w:r w:rsidRPr="00032B9A">
        <w:rPr>
          <w:rFonts w:asciiTheme="minorHAnsi" w:hAnsiTheme="minorHAnsi" w:cstheme="minorHAnsi"/>
          <w:b/>
          <w:sz w:val="22"/>
        </w:rPr>
        <w:t>1</w:t>
      </w:r>
      <w:r w:rsidR="003E30DB">
        <w:rPr>
          <w:rFonts w:asciiTheme="minorHAnsi" w:hAnsiTheme="minorHAnsi" w:cstheme="minorHAnsi"/>
          <w:b/>
          <w:sz w:val="22"/>
        </w:rPr>
        <w:t>0</w:t>
      </w:r>
      <w:r w:rsidR="001875D6" w:rsidRPr="00032B9A">
        <w:rPr>
          <w:rFonts w:asciiTheme="minorHAnsi" w:hAnsiTheme="minorHAnsi" w:cstheme="minorHAnsi"/>
          <w:b/>
          <w:sz w:val="22"/>
        </w:rPr>
        <w:t>:00</w:t>
      </w:r>
      <w:r w:rsidRPr="00032B9A">
        <w:rPr>
          <w:rFonts w:asciiTheme="minorHAnsi" w:hAnsiTheme="minorHAnsi" w:cstheme="minorHAnsi"/>
          <w:b/>
          <w:sz w:val="22"/>
        </w:rPr>
        <w:t>.</w:t>
      </w:r>
      <w:r w:rsidR="001875D6" w:rsidRPr="00032B9A">
        <w:rPr>
          <w:rFonts w:asciiTheme="minorHAnsi" w:hAnsiTheme="minorHAnsi" w:cstheme="minorHAnsi"/>
          <w:b/>
          <w:sz w:val="22"/>
        </w:rPr>
        <w:t xml:space="preserve"> </w:t>
      </w:r>
    </w:p>
    <w:p w14:paraId="50C212C1" w14:textId="4AFFD04A" w:rsidR="003E26D3" w:rsidRPr="00032B9A" w:rsidRDefault="003E26D3">
      <w:pPr>
        <w:numPr>
          <w:ilvl w:val="1"/>
          <w:numId w:val="1"/>
        </w:numPr>
        <w:spacing w:after="14" w:line="267" w:lineRule="auto"/>
        <w:ind w:right="337" w:hanging="852"/>
        <w:rPr>
          <w:rFonts w:asciiTheme="minorHAnsi" w:hAnsiTheme="minorHAnsi" w:cstheme="minorHAnsi"/>
          <w:bCs/>
          <w:sz w:val="22"/>
        </w:rPr>
      </w:pPr>
      <w:r w:rsidRPr="00032B9A">
        <w:rPr>
          <w:rFonts w:asciiTheme="minorHAnsi" w:hAnsiTheme="minorHAnsi" w:cstheme="minorHAnsi"/>
          <w:bCs/>
          <w:sz w:val="22"/>
        </w:rPr>
        <w:t xml:space="preserve">Otwarcie ofert nastąpi w dniu </w:t>
      </w:r>
      <w:r w:rsidR="003E30DB">
        <w:rPr>
          <w:rFonts w:asciiTheme="minorHAnsi" w:hAnsiTheme="minorHAnsi" w:cstheme="minorHAnsi"/>
          <w:b/>
          <w:bCs/>
          <w:sz w:val="22"/>
        </w:rPr>
        <w:t>17.12</w:t>
      </w:r>
      <w:r w:rsidRPr="00032B9A">
        <w:rPr>
          <w:rFonts w:asciiTheme="minorHAnsi" w:hAnsiTheme="minorHAnsi" w:cstheme="minorHAnsi"/>
          <w:b/>
          <w:sz w:val="22"/>
        </w:rPr>
        <w:t>.2021 r., o godzinie 1</w:t>
      </w:r>
      <w:r w:rsidR="003E30DB">
        <w:rPr>
          <w:rFonts w:asciiTheme="minorHAnsi" w:hAnsiTheme="minorHAnsi" w:cstheme="minorHAnsi"/>
          <w:b/>
          <w:sz w:val="22"/>
        </w:rPr>
        <w:t>0</w:t>
      </w:r>
      <w:r w:rsidRPr="00032B9A">
        <w:rPr>
          <w:rFonts w:asciiTheme="minorHAnsi" w:hAnsiTheme="minorHAnsi" w:cstheme="minorHAnsi"/>
          <w:b/>
          <w:sz w:val="22"/>
        </w:rPr>
        <w:t>:</w:t>
      </w:r>
      <w:r w:rsidR="003E30DB">
        <w:rPr>
          <w:rFonts w:asciiTheme="minorHAnsi" w:hAnsiTheme="minorHAnsi" w:cstheme="minorHAnsi"/>
          <w:b/>
          <w:sz w:val="22"/>
        </w:rPr>
        <w:t>15</w:t>
      </w:r>
      <w:r w:rsidRPr="00032B9A">
        <w:rPr>
          <w:rFonts w:asciiTheme="minorHAnsi" w:hAnsiTheme="minorHAnsi" w:cstheme="minorHAnsi"/>
          <w:b/>
          <w:sz w:val="22"/>
        </w:rPr>
        <w:t>.</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636EC28B" w:rsidR="00153B75" w:rsidRPr="00032B9A" w:rsidRDefault="001875D6" w:rsidP="003E26D3">
      <w:pPr>
        <w:numPr>
          <w:ilvl w:val="1"/>
          <w:numId w:val="1"/>
        </w:numPr>
        <w:ind w:right="337" w:hanging="852"/>
        <w:rPr>
          <w:rFonts w:asciiTheme="minorHAnsi" w:hAnsiTheme="minorHAnsi" w:cstheme="minorHAnsi"/>
          <w:b/>
          <w:sz w:val="22"/>
        </w:rPr>
      </w:pPr>
      <w:r w:rsidRPr="00BB1432">
        <w:rPr>
          <w:rFonts w:asciiTheme="minorHAnsi" w:hAnsiTheme="minorHAnsi" w:cstheme="minorHAnsi"/>
          <w:sz w:val="22"/>
        </w:rPr>
        <w:t>Wykonawca jest związany ofertą od dnia terminu składania ofert</w:t>
      </w:r>
      <w:r w:rsidRPr="00BB1432">
        <w:rPr>
          <w:rFonts w:asciiTheme="minorHAnsi" w:hAnsiTheme="minorHAnsi" w:cstheme="minorHAnsi"/>
          <w:b/>
          <w:sz w:val="22"/>
        </w:rPr>
        <w:t xml:space="preserve"> do dnia </w:t>
      </w:r>
      <w:r w:rsidR="004716D4">
        <w:rPr>
          <w:rFonts w:asciiTheme="minorHAnsi" w:hAnsiTheme="minorHAnsi" w:cstheme="minorHAnsi"/>
          <w:b/>
          <w:sz w:val="22"/>
        </w:rPr>
        <w:t>15.01.2022</w:t>
      </w:r>
      <w:r w:rsidR="003E26D3" w:rsidRPr="00032B9A">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013D59D9" w:rsidR="008744B8" w:rsidRDefault="008744B8" w:rsidP="008744B8">
      <w:pPr>
        <w:ind w:left="720" w:right="337" w:firstLine="0"/>
        <w:rPr>
          <w:rFonts w:asciiTheme="minorHAnsi" w:hAnsiTheme="minorHAnsi" w:cstheme="minorHAnsi"/>
          <w:sz w:val="22"/>
        </w:rPr>
      </w:pPr>
    </w:p>
    <w:p w14:paraId="29AC7A47" w14:textId="77777777" w:rsidR="002D140A" w:rsidRDefault="002D140A"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7BD8D6AB" w:rsidR="008744B8" w:rsidRPr="008744B8" w:rsidRDefault="002D140A"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8744B8">
              <w:rPr>
                <w:rFonts w:ascii="Calibri" w:eastAsia="Calibri" w:hAnsi="Calibri" w:cs="Times New Roman"/>
                <w:b/>
                <w:color w:val="auto"/>
                <w:sz w:val="22"/>
                <w:lang w:eastAsia="en-US"/>
              </w:rPr>
              <w:t xml:space="preserve">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lastRenderedPageBreak/>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1D854737"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2D140A">
        <w:rPr>
          <w:rFonts w:asciiTheme="minorHAnsi" w:hAnsiTheme="minorHAnsi" w:cstheme="minorHAnsi"/>
          <w:b/>
          <w:sz w:val="22"/>
          <w:u w:val="single" w:color="000000"/>
        </w:rPr>
        <w:t>Okres gwarancji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4DE32F85" w14:textId="3D7D095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„Okres gwarancji ” (G) zostaną obliczone według wzoru:</w:t>
      </w:r>
    </w:p>
    <w:p w14:paraId="1FA2D47D" w14:textId="77777777" w:rsidR="00B71D65" w:rsidRPr="008744B8" w:rsidRDefault="00B71D65" w:rsidP="00B71D65">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44BE8AB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5CDC5702"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0C02E157"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658B728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31B4F65D" w14:textId="69A4BCE9"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36 miesięcy na przedmiot zamówienia. Zamawiający przyjmuje, że w kryterium „Okres gwarancji” oceniany będzie proponowany przez wykonawców okres gwarancji w skali od 36 miesięcy do </w:t>
      </w:r>
      <w:r>
        <w:rPr>
          <w:rFonts w:ascii="Calibri" w:eastAsia="Calibri" w:hAnsi="Calibri" w:cs="Times New Roman"/>
          <w:color w:val="auto"/>
          <w:sz w:val="22"/>
          <w:lang w:eastAsia="en-US"/>
        </w:rPr>
        <w:t>48</w:t>
      </w:r>
      <w:r w:rsidRPr="008744B8">
        <w:rPr>
          <w:rFonts w:ascii="Calibri" w:eastAsia="Calibri" w:hAnsi="Calibri" w:cs="Times New Roman"/>
          <w:color w:val="auto"/>
          <w:sz w:val="22"/>
          <w:lang w:eastAsia="en-US"/>
        </w:rPr>
        <w:t xml:space="preserve"> miesięcy.</w:t>
      </w:r>
    </w:p>
    <w:p w14:paraId="065C2169"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przypadku braku wskazania przez wykonawcę w ofercie okresu gwarancji, Zamawiający przyjmie, że oferuje on minimalny wymagany okres gwarancji tj. 36 miesięcy.</w:t>
      </w:r>
    </w:p>
    <w:p w14:paraId="177A6189" w14:textId="5BBCE5C6"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niż 48 miesięcy, Zamawiający w celu przyznania punktów w kryterium „Okres gwarancji” przyjmie do obliczeń 48 miesięcy</w:t>
      </w:r>
      <w:r w:rsidRPr="008744B8">
        <w:rPr>
          <w:rFonts w:ascii="Calibri" w:eastAsia="Calibri" w:hAnsi="Calibri" w:cs="Times New Roman"/>
          <w:color w:val="auto"/>
          <w:sz w:val="22"/>
          <w:lang w:eastAsia="en-US"/>
        </w:rPr>
        <w:t xml:space="preserve"> okresu gwarancji.</w:t>
      </w:r>
    </w:p>
    <w:p w14:paraId="4CFC7493" w14:textId="77777777" w:rsidR="00B71D65" w:rsidRPr="008744B8" w:rsidRDefault="00B71D65" w:rsidP="00B71D65">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6E45584E"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1B1F3434"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2D140A">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lastRenderedPageBreak/>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lastRenderedPageBreak/>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673EECC8" w14:textId="265B5081" w:rsidR="004B20CE" w:rsidRDefault="004B20CE"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p>
    <w:p w14:paraId="4AFAB40E" w14:textId="2B4A94E5"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3526" w14:textId="77777777" w:rsidR="00345D00" w:rsidRDefault="00345D00">
      <w:pPr>
        <w:spacing w:after="0" w:line="240" w:lineRule="auto"/>
      </w:pPr>
      <w:r>
        <w:separator/>
      </w:r>
    </w:p>
  </w:endnote>
  <w:endnote w:type="continuationSeparator" w:id="0">
    <w:p w14:paraId="306D4843" w14:textId="77777777" w:rsidR="00345D00" w:rsidRDefault="0034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A98F" w14:textId="77777777" w:rsidR="00345D00" w:rsidRDefault="00345D00">
      <w:pPr>
        <w:spacing w:after="0" w:line="259" w:lineRule="auto"/>
        <w:ind w:left="0" w:right="0" w:firstLine="0"/>
        <w:jc w:val="left"/>
      </w:pPr>
      <w:r>
        <w:separator/>
      </w:r>
    </w:p>
  </w:footnote>
  <w:footnote w:type="continuationSeparator" w:id="0">
    <w:p w14:paraId="6350F45D" w14:textId="77777777" w:rsidR="00345D00" w:rsidRDefault="00345D00">
      <w:pPr>
        <w:spacing w:after="0" w:line="259" w:lineRule="auto"/>
        <w:ind w:left="0" w:right="0" w:firstLine="0"/>
        <w:jc w:val="left"/>
      </w:pPr>
      <w:r>
        <w:continuationSeparator/>
      </w:r>
    </w:p>
  </w:footnote>
  <w:footnote w:id="1">
    <w:p w14:paraId="7E62CAAE" w14:textId="3F4C1E08" w:rsidR="00FF186E" w:rsidRDefault="00FF186E">
      <w:pPr>
        <w:pStyle w:val="footnotedescription"/>
      </w:pPr>
      <w:r>
        <w:rPr>
          <w:rStyle w:val="footnotemark"/>
        </w:rPr>
        <w:footnoteRef/>
      </w:r>
      <w:r>
        <w:t xml:space="preserve"> Ustawa z dnia 11 września 2019 r. – Prawo zamówień publicznych (</w:t>
      </w:r>
      <w:proofErr w:type="spellStart"/>
      <w:r w:rsidR="006C7CD5" w:rsidRPr="006C7CD5">
        <w:t>t.j</w:t>
      </w:r>
      <w:proofErr w:type="spellEnd"/>
      <w:r w:rsidR="006C7CD5" w:rsidRPr="006C7CD5">
        <w:t>. Dz. U. z 2021, poz. 1129 ze zm.</w:t>
      </w:r>
      <w:r>
        <w:t xml:space="preserve">) </w:t>
      </w:r>
    </w:p>
  </w:footnote>
  <w:footnote w:id="2">
    <w:p w14:paraId="2F0661A2" w14:textId="27998741" w:rsidR="00FF186E" w:rsidRDefault="00FF186E">
      <w:pPr>
        <w:pStyle w:val="footnotedescription"/>
        <w:spacing w:after="23"/>
      </w:pPr>
      <w:r>
        <w:rPr>
          <w:rStyle w:val="footnotemark"/>
        </w:rPr>
        <w:footnoteRef/>
      </w:r>
      <w:r>
        <w:t xml:space="preserve"> Ustawa z dnia 23 kwietnia 1964 r. – Kodeks cywilny (</w:t>
      </w:r>
      <w:proofErr w:type="spellStart"/>
      <w:r w:rsidR="006C7CD5" w:rsidRPr="006C7CD5">
        <w:t>t.j</w:t>
      </w:r>
      <w:proofErr w:type="spellEnd"/>
      <w:r w:rsidR="006C7CD5" w:rsidRPr="006C7CD5">
        <w:t>. Dz. U. z 2020 r. poz. 1740 ze zm.</w:t>
      </w:r>
      <w:r>
        <w:t xml:space="preserve">) </w:t>
      </w:r>
    </w:p>
  </w:footnote>
  <w:footnote w:id="3">
    <w:p w14:paraId="22DC5766" w14:textId="7904DB61" w:rsidR="00FF186E" w:rsidRDefault="00FF186E">
      <w:pPr>
        <w:pStyle w:val="footnotedescription"/>
      </w:pPr>
      <w:r>
        <w:rPr>
          <w:rStyle w:val="footnotemark"/>
        </w:rPr>
        <w:footnoteRef/>
      </w:r>
      <w:r>
        <w:t xml:space="preserve"> Ustawa z dnia 11 września 2019 r. – Prawo zamówień publicznych (</w:t>
      </w:r>
      <w:proofErr w:type="spellStart"/>
      <w:r w:rsidR="006C7CD5" w:rsidRPr="006C7CD5">
        <w:t>t.j</w:t>
      </w:r>
      <w:proofErr w:type="spellEnd"/>
      <w:r w:rsidR="006C7CD5" w:rsidRPr="006C7CD5">
        <w:t>. Dz. U. z 2021, poz. 1129 ze zm.</w:t>
      </w:r>
      <w:r>
        <w:t xml:space="preserve">) </w:t>
      </w:r>
    </w:p>
  </w:footnote>
  <w:footnote w:id="4">
    <w:p w14:paraId="12FA0B09" w14:textId="2B822AA1" w:rsidR="00FF186E" w:rsidRDefault="00FF186E">
      <w:pPr>
        <w:pStyle w:val="footnotedescription"/>
      </w:pPr>
      <w:r>
        <w:rPr>
          <w:rStyle w:val="footnotemark"/>
        </w:rPr>
        <w:footnoteRef/>
      </w:r>
      <w:r>
        <w:t xml:space="preserve"> Ustawa z dnia 11 marca 2004 r. o podatku od towarów i usług </w:t>
      </w:r>
      <w:proofErr w:type="spellStart"/>
      <w:r w:rsidR="006C7CD5" w:rsidRPr="006C7CD5">
        <w:t>t.j</w:t>
      </w:r>
      <w:proofErr w:type="spellEnd"/>
      <w:r w:rsidR="006C7CD5" w:rsidRPr="006C7CD5">
        <w:t>. Dz. U. z 2021 r. poz. 685 ze zm.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E17D18"/>
    <w:multiLevelType w:val="hybridMultilevel"/>
    <w:tmpl w:val="864C7A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7"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9"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ABD2FD4"/>
    <w:multiLevelType w:val="hybridMultilevel"/>
    <w:tmpl w:val="46548670"/>
    <w:lvl w:ilvl="0" w:tplc="B1AE132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6"/>
  </w:num>
  <w:num w:numId="4">
    <w:abstractNumId w:val="19"/>
  </w:num>
  <w:num w:numId="5">
    <w:abstractNumId w:val="20"/>
  </w:num>
  <w:num w:numId="6">
    <w:abstractNumId w:val="1"/>
  </w:num>
  <w:num w:numId="7">
    <w:abstractNumId w:val="15"/>
  </w:num>
  <w:num w:numId="8">
    <w:abstractNumId w:val="12"/>
  </w:num>
  <w:num w:numId="9">
    <w:abstractNumId w:val="14"/>
  </w:num>
  <w:num w:numId="10">
    <w:abstractNumId w:val="21"/>
  </w:num>
  <w:num w:numId="11">
    <w:abstractNumId w:val="11"/>
  </w:num>
  <w:num w:numId="12">
    <w:abstractNumId w:val="25"/>
  </w:num>
  <w:num w:numId="13">
    <w:abstractNumId w:val="13"/>
  </w:num>
  <w:num w:numId="14">
    <w:abstractNumId w:val="27"/>
  </w:num>
  <w:num w:numId="15">
    <w:abstractNumId w:val="2"/>
  </w:num>
  <w:num w:numId="16">
    <w:abstractNumId w:val="7"/>
  </w:num>
  <w:num w:numId="17">
    <w:abstractNumId w:val="4"/>
  </w:num>
  <w:num w:numId="18">
    <w:abstractNumId w:val="18"/>
  </w:num>
  <w:num w:numId="19">
    <w:abstractNumId w:val="24"/>
  </w:num>
  <w:num w:numId="20">
    <w:abstractNumId w:val="9"/>
  </w:num>
  <w:num w:numId="21">
    <w:abstractNumId w:val="28"/>
  </w:num>
  <w:num w:numId="22">
    <w:abstractNumId w:val="26"/>
  </w:num>
  <w:num w:numId="23">
    <w:abstractNumId w:val="10"/>
  </w:num>
  <w:num w:numId="24">
    <w:abstractNumId w:val="0"/>
  </w:num>
  <w:num w:numId="25">
    <w:abstractNumId w:val="17"/>
  </w:num>
  <w:num w:numId="26">
    <w:abstractNumId w:val="16"/>
  </w:num>
  <w:num w:numId="27">
    <w:abstractNumId w:val="29"/>
  </w:num>
  <w:num w:numId="28">
    <w:abstractNumId w:val="8"/>
  </w:num>
  <w:num w:numId="29">
    <w:abstractNumId w:val="23"/>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2B9A"/>
    <w:rsid w:val="00036EF4"/>
    <w:rsid w:val="00037543"/>
    <w:rsid w:val="0006133E"/>
    <w:rsid w:val="00066FAD"/>
    <w:rsid w:val="00072CEB"/>
    <w:rsid w:val="00082310"/>
    <w:rsid w:val="00086FB8"/>
    <w:rsid w:val="00090D61"/>
    <w:rsid w:val="000A31E0"/>
    <w:rsid w:val="000B3C92"/>
    <w:rsid w:val="000B606B"/>
    <w:rsid w:val="000D4462"/>
    <w:rsid w:val="000E4111"/>
    <w:rsid w:val="000F1A15"/>
    <w:rsid w:val="000F3B80"/>
    <w:rsid w:val="00105D41"/>
    <w:rsid w:val="00117E6B"/>
    <w:rsid w:val="001234A8"/>
    <w:rsid w:val="00124111"/>
    <w:rsid w:val="0012476C"/>
    <w:rsid w:val="00131AE5"/>
    <w:rsid w:val="00141B15"/>
    <w:rsid w:val="00153B75"/>
    <w:rsid w:val="00170C78"/>
    <w:rsid w:val="00171E41"/>
    <w:rsid w:val="001875D6"/>
    <w:rsid w:val="00193676"/>
    <w:rsid w:val="001A468B"/>
    <w:rsid w:val="001D340A"/>
    <w:rsid w:val="001D45CE"/>
    <w:rsid w:val="00206B33"/>
    <w:rsid w:val="00217884"/>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140A"/>
    <w:rsid w:val="002D52BB"/>
    <w:rsid w:val="002D5DFF"/>
    <w:rsid w:val="00300C3B"/>
    <w:rsid w:val="00302C73"/>
    <w:rsid w:val="003041A1"/>
    <w:rsid w:val="0030792E"/>
    <w:rsid w:val="0031139D"/>
    <w:rsid w:val="003144D6"/>
    <w:rsid w:val="00321011"/>
    <w:rsid w:val="00323E69"/>
    <w:rsid w:val="00345D00"/>
    <w:rsid w:val="003531E8"/>
    <w:rsid w:val="0035613E"/>
    <w:rsid w:val="00360846"/>
    <w:rsid w:val="00363C12"/>
    <w:rsid w:val="0037162A"/>
    <w:rsid w:val="003878A0"/>
    <w:rsid w:val="00390E34"/>
    <w:rsid w:val="003910E9"/>
    <w:rsid w:val="003967D4"/>
    <w:rsid w:val="003A5249"/>
    <w:rsid w:val="003B36A2"/>
    <w:rsid w:val="003D0950"/>
    <w:rsid w:val="003D1581"/>
    <w:rsid w:val="003D6E30"/>
    <w:rsid w:val="003E26D3"/>
    <w:rsid w:val="003E30DB"/>
    <w:rsid w:val="003F71A9"/>
    <w:rsid w:val="00412ED8"/>
    <w:rsid w:val="00424E27"/>
    <w:rsid w:val="00432DB1"/>
    <w:rsid w:val="0043526D"/>
    <w:rsid w:val="004418B6"/>
    <w:rsid w:val="004649D4"/>
    <w:rsid w:val="0046732D"/>
    <w:rsid w:val="004678CE"/>
    <w:rsid w:val="004716D4"/>
    <w:rsid w:val="00480644"/>
    <w:rsid w:val="00483A00"/>
    <w:rsid w:val="00486C25"/>
    <w:rsid w:val="00490E14"/>
    <w:rsid w:val="004A26D4"/>
    <w:rsid w:val="004B20CE"/>
    <w:rsid w:val="004B38E0"/>
    <w:rsid w:val="004D6D1C"/>
    <w:rsid w:val="004E2F9E"/>
    <w:rsid w:val="004F0711"/>
    <w:rsid w:val="005029BC"/>
    <w:rsid w:val="00510580"/>
    <w:rsid w:val="00511B94"/>
    <w:rsid w:val="00514270"/>
    <w:rsid w:val="005159AA"/>
    <w:rsid w:val="00525218"/>
    <w:rsid w:val="005252C2"/>
    <w:rsid w:val="00543F37"/>
    <w:rsid w:val="00562011"/>
    <w:rsid w:val="00577BF1"/>
    <w:rsid w:val="005B0BB5"/>
    <w:rsid w:val="005D0407"/>
    <w:rsid w:val="005D5B61"/>
    <w:rsid w:val="00607AD6"/>
    <w:rsid w:val="00607FE2"/>
    <w:rsid w:val="0063423B"/>
    <w:rsid w:val="00651B6C"/>
    <w:rsid w:val="00662AA6"/>
    <w:rsid w:val="00664DBB"/>
    <w:rsid w:val="00675C77"/>
    <w:rsid w:val="0067758D"/>
    <w:rsid w:val="006A23C5"/>
    <w:rsid w:val="006A609F"/>
    <w:rsid w:val="006B706B"/>
    <w:rsid w:val="006C168B"/>
    <w:rsid w:val="006C7CD5"/>
    <w:rsid w:val="006D0593"/>
    <w:rsid w:val="006D1A8B"/>
    <w:rsid w:val="00716EA4"/>
    <w:rsid w:val="007374AE"/>
    <w:rsid w:val="00747990"/>
    <w:rsid w:val="00750AF1"/>
    <w:rsid w:val="00763CD2"/>
    <w:rsid w:val="00765946"/>
    <w:rsid w:val="00774EF7"/>
    <w:rsid w:val="00782D36"/>
    <w:rsid w:val="00790BFB"/>
    <w:rsid w:val="0079104C"/>
    <w:rsid w:val="007955E1"/>
    <w:rsid w:val="007A48E0"/>
    <w:rsid w:val="007E00FB"/>
    <w:rsid w:val="007E70CC"/>
    <w:rsid w:val="007F319B"/>
    <w:rsid w:val="007F38FB"/>
    <w:rsid w:val="007F7033"/>
    <w:rsid w:val="00800996"/>
    <w:rsid w:val="00801F80"/>
    <w:rsid w:val="00812370"/>
    <w:rsid w:val="00813DE2"/>
    <w:rsid w:val="008142DB"/>
    <w:rsid w:val="008207C1"/>
    <w:rsid w:val="008316FF"/>
    <w:rsid w:val="00847323"/>
    <w:rsid w:val="00851116"/>
    <w:rsid w:val="008570AD"/>
    <w:rsid w:val="00873D8C"/>
    <w:rsid w:val="008740F5"/>
    <w:rsid w:val="008744B8"/>
    <w:rsid w:val="00896E51"/>
    <w:rsid w:val="008A0FCD"/>
    <w:rsid w:val="008A5125"/>
    <w:rsid w:val="008C096E"/>
    <w:rsid w:val="008D0FDA"/>
    <w:rsid w:val="008D61AA"/>
    <w:rsid w:val="008E33F9"/>
    <w:rsid w:val="008E4E76"/>
    <w:rsid w:val="008F0EDD"/>
    <w:rsid w:val="008F4259"/>
    <w:rsid w:val="008F498A"/>
    <w:rsid w:val="008F5B4E"/>
    <w:rsid w:val="00935663"/>
    <w:rsid w:val="00946047"/>
    <w:rsid w:val="00950B87"/>
    <w:rsid w:val="00964BDF"/>
    <w:rsid w:val="00965835"/>
    <w:rsid w:val="009669EF"/>
    <w:rsid w:val="00970F72"/>
    <w:rsid w:val="00971E98"/>
    <w:rsid w:val="009831D5"/>
    <w:rsid w:val="009C502B"/>
    <w:rsid w:val="009D184D"/>
    <w:rsid w:val="009D7F1B"/>
    <w:rsid w:val="009E2E70"/>
    <w:rsid w:val="009E5619"/>
    <w:rsid w:val="009E5C1A"/>
    <w:rsid w:val="009F68F4"/>
    <w:rsid w:val="00A043B2"/>
    <w:rsid w:val="00A05C47"/>
    <w:rsid w:val="00A11B44"/>
    <w:rsid w:val="00A12F25"/>
    <w:rsid w:val="00A24D7E"/>
    <w:rsid w:val="00A34CC2"/>
    <w:rsid w:val="00A4155F"/>
    <w:rsid w:val="00A41EB4"/>
    <w:rsid w:val="00A62332"/>
    <w:rsid w:val="00A72A36"/>
    <w:rsid w:val="00A75FEF"/>
    <w:rsid w:val="00AC22AD"/>
    <w:rsid w:val="00AC74D3"/>
    <w:rsid w:val="00AE1BFD"/>
    <w:rsid w:val="00AF2505"/>
    <w:rsid w:val="00AF68A8"/>
    <w:rsid w:val="00B02653"/>
    <w:rsid w:val="00B07260"/>
    <w:rsid w:val="00B1411C"/>
    <w:rsid w:val="00B2198A"/>
    <w:rsid w:val="00B32DDA"/>
    <w:rsid w:val="00B561BE"/>
    <w:rsid w:val="00B561F5"/>
    <w:rsid w:val="00B56610"/>
    <w:rsid w:val="00B600EE"/>
    <w:rsid w:val="00B62E30"/>
    <w:rsid w:val="00B63180"/>
    <w:rsid w:val="00B66B74"/>
    <w:rsid w:val="00B71D65"/>
    <w:rsid w:val="00B77D9A"/>
    <w:rsid w:val="00B90B83"/>
    <w:rsid w:val="00BA370A"/>
    <w:rsid w:val="00BA398D"/>
    <w:rsid w:val="00BA562B"/>
    <w:rsid w:val="00BB035F"/>
    <w:rsid w:val="00BB1432"/>
    <w:rsid w:val="00BB3039"/>
    <w:rsid w:val="00BB6BF5"/>
    <w:rsid w:val="00BC7BAD"/>
    <w:rsid w:val="00BD46BF"/>
    <w:rsid w:val="00BD65C6"/>
    <w:rsid w:val="00BE58A6"/>
    <w:rsid w:val="00BF1107"/>
    <w:rsid w:val="00C25BBB"/>
    <w:rsid w:val="00C26AE9"/>
    <w:rsid w:val="00C32199"/>
    <w:rsid w:val="00C35DC6"/>
    <w:rsid w:val="00C60B94"/>
    <w:rsid w:val="00C632D0"/>
    <w:rsid w:val="00C63508"/>
    <w:rsid w:val="00C7265D"/>
    <w:rsid w:val="00C7594C"/>
    <w:rsid w:val="00C76F9B"/>
    <w:rsid w:val="00C84BA1"/>
    <w:rsid w:val="00C867E0"/>
    <w:rsid w:val="00CA21AA"/>
    <w:rsid w:val="00CC11A4"/>
    <w:rsid w:val="00CC2C19"/>
    <w:rsid w:val="00CC7275"/>
    <w:rsid w:val="00CF4951"/>
    <w:rsid w:val="00CF78C9"/>
    <w:rsid w:val="00D2093C"/>
    <w:rsid w:val="00D27B48"/>
    <w:rsid w:val="00D43D4C"/>
    <w:rsid w:val="00D46CD4"/>
    <w:rsid w:val="00D53E06"/>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321A8"/>
    <w:rsid w:val="00E32717"/>
    <w:rsid w:val="00E359D3"/>
    <w:rsid w:val="00E43816"/>
    <w:rsid w:val="00E464A8"/>
    <w:rsid w:val="00E72545"/>
    <w:rsid w:val="00E810A6"/>
    <w:rsid w:val="00E92328"/>
    <w:rsid w:val="00EA2A4A"/>
    <w:rsid w:val="00EB509E"/>
    <w:rsid w:val="00EB7BCD"/>
    <w:rsid w:val="00ED15BC"/>
    <w:rsid w:val="00EE37FF"/>
    <w:rsid w:val="00EE7544"/>
    <w:rsid w:val="00EF01F3"/>
    <w:rsid w:val="00EF4376"/>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B5901"/>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15</Pages>
  <Words>5078</Words>
  <Characters>30472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Olgierd Koleśnik</cp:lastModifiedBy>
  <cp:revision>83</cp:revision>
  <dcterms:created xsi:type="dcterms:W3CDTF">2021-08-22T19:09:00Z</dcterms:created>
  <dcterms:modified xsi:type="dcterms:W3CDTF">2021-12-10T10:20:00Z</dcterms:modified>
</cp:coreProperties>
</file>