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EE" w:rsidRPr="00EA1800" w:rsidRDefault="00EA1800" w:rsidP="00EA1800">
      <w:pPr>
        <w:pStyle w:val="Akapitzlist"/>
        <w:spacing w:before="120" w:after="120"/>
        <w:ind w:left="0"/>
        <w:jc w:val="center"/>
        <w:rPr>
          <w:b/>
          <w:sz w:val="32"/>
          <w:szCs w:val="32"/>
        </w:rPr>
      </w:pPr>
      <w:r w:rsidRPr="00EA1800">
        <w:rPr>
          <w:b/>
          <w:sz w:val="32"/>
          <w:szCs w:val="32"/>
        </w:rPr>
        <w:t>Wymagane Minimalne Parametry opraw oświetlenia ulicznego oraz osiągniętych efektów ekonomicznych po modernizacji.</w:t>
      </w:r>
    </w:p>
    <w:p w:rsidR="0036459D" w:rsidRDefault="0036459D" w:rsidP="001444EE">
      <w:pPr>
        <w:pStyle w:val="Akapitzlist"/>
        <w:spacing w:before="120" w:after="120"/>
        <w:jc w:val="both"/>
        <w:rPr>
          <w:b/>
          <w:szCs w:val="26"/>
        </w:rPr>
      </w:pPr>
    </w:p>
    <w:p w:rsidR="0036459D" w:rsidRDefault="0036459D" w:rsidP="001444EE">
      <w:pPr>
        <w:pStyle w:val="Akapitzlist"/>
        <w:spacing w:before="120" w:after="120"/>
        <w:jc w:val="both"/>
        <w:rPr>
          <w:b/>
          <w:szCs w:val="26"/>
        </w:rPr>
      </w:pPr>
    </w:p>
    <w:p w:rsidR="0036459D" w:rsidRDefault="0036459D" w:rsidP="000F2338">
      <w:pPr>
        <w:pStyle w:val="Akapitzlist"/>
        <w:numPr>
          <w:ilvl w:val="0"/>
          <w:numId w:val="3"/>
        </w:numPr>
        <w:spacing w:before="120" w:after="120"/>
        <w:jc w:val="both"/>
        <w:rPr>
          <w:b/>
          <w:szCs w:val="26"/>
        </w:rPr>
      </w:pPr>
      <w:r>
        <w:rPr>
          <w:b/>
          <w:szCs w:val="26"/>
        </w:rPr>
        <w:t xml:space="preserve">Szczegółowy zakres prac Zakres prac przewidzianych do modernizacji został opisany w dokumentacjach projektowych oraz w przedmiarach robót stanowiących załączniki nr </w:t>
      </w:r>
      <w:r w:rsidR="00EB6A7C">
        <w:rPr>
          <w:b/>
          <w:szCs w:val="26"/>
        </w:rPr>
        <w:t>1</w:t>
      </w:r>
      <w:r>
        <w:rPr>
          <w:b/>
          <w:szCs w:val="26"/>
        </w:rPr>
        <w:t xml:space="preserve"> do ni</w:t>
      </w:r>
      <w:r w:rsidR="00EB6A7C">
        <w:rPr>
          <w:b/>
          <w:szCs w:val="26"/>
        </w:rPr>
        <w:t>ni</w:t>
      </w:r>
      <w:r>
        <w:rPr>
          <w:b/>
          <w:szCs w:val="26"/>
        </w:rPr>
        <w:t>ejszej SWZ.</w:t>
      </w:r>
      <w:r w:rsidR="005A1DDA">
        <w:rPr>
          <w:b/>
          <w:szCs w:val="26"/>
        </w:rPr>
        <w:t xml:space="preserve"> Nazwy i Kody CPV </w:t>
      </w:r>
    </w:p>
    <w:p w:rsidR="005A1DDA" w:rsidRPr="005A1DDA" w:rsidRDefault="005A1DDA" w:rsidP="005A1D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1DDA">
        <w:rPr>
          <w:rFonts w:ascii="Arial" w:hAnsi="Arial" w:cs="Arial"/>
        </w:rPr>
        <w:t>45316100-9</w:t>
      </w:r>
      <w:r w:rsidRPr="005A1DDA">
        <w:t xml:space="preserve"> </w:t>
      </w:r>
      <w:r w:rsidRPr="005A1DDA">
        <w:rPr>
          <w:rFonts w:ascii="Arial" w:hAnsi="Arial" w:cs="Arial"/>
        </w:rPr>
        <w:t>Instalowanie urządzeń oświetlenia drogowego.</w:t>
      </w:r>
    </w:p>
    <w:p w:rsidR="005A1DDA" w:rsidRPr="005A1DDA" w:rsidRDefault="005A1DDA" w:rsidP="005A1D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1DDA">
        <w:rPr>
          <w:rFonts w:ascii="Arial" w:hAnsi="Arial" w:cs="Arial"/>
        </w:rPr>
        <w:t>45000000-7 Roboty budowlane</w:t>
      </w:r>
    </w:p>
    <w:p w:rsidR="005A1DDA" w:rsidRPr="005A1DDA" w:rsidRDefault="005A1DDA" w:rsidP="005A1D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1DDA">
        <w:rPr>
          <w:rFonts w:ascii="Arial" w:hAnsi="Arial" w:cs="Arial"/>
        </w:rPr>
        <w:t>45310000-3 Roboty instalacyjne elektryczne</w:t>
      </w:r>
    </w:p>
    <w:p w:rsidR="0036459D" w:rsidRDefault="0036459D" w:rsidP="0036459D">
      <w:pPr>
        <w:pStyle w:val="Akapitzlist"/>
        <w:spacing w:before="120" w:after="120"/>
        <w:jc w:val="both"/>
        <w:rPr>
          <w:b/>
          <w:szCs w:val="26"/>
        </w:rPr>
      </w:pPr>
    </w:p>
    <w:p w:rsidR="00B26885" w:rsidRDefault="00B26885" w:rsidP="000F2338">
      <w:pPr>
        <w:pStyle w:val="Akapitzlist"/>
        <w:numPr>
          <w:ilvl w:val="0"/>
          <w:numId w:val="3"/>
        </w:numPr>
        <w:spacing w:before="120" w:after="120"/>
        <w:jc w:val="both"/>
        <w:rPr>
          <w:b/>
          <w:szCs w:val="26"/>
        </w:rPr>
      </w:pPr>
      <w:r>
        <w:rPr>
          <w:b/>
          <w:szCs w:val="26"/>
        </w:rPr>
        <w:t>Wymagane przez Zamawiającego minimalne parametry funkcjonalno użytkowe opraw oświetlenia ulicznego LED:</w:t>
      </w:r>
    </w:p>
    <w:p w:rsidR="00B26885" w:rsidRDefault="00B26885" w:rsidP="00B2688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Materiał korpusu oraz pokrywy: Wysokociśnieniowy odlew aluminiowy malowany proszkowo na wybrany kolor z ogólnodostępnej palety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Wnętrze komory optycznej, komory elektrycznej oraz elementy oprawy (np. pokrywa, uchwyt montażowy) zabezpieczone przed korozją powłoką lakierniczą. Nie dopuszcza się surowego materiału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Materiał klosza: Płaskie hartowane szkło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Stopień odporności klosza na uderzenia mechaniczne: IK09. Wymagany jest raport z badań pochodzący z akredytowanego laboratorium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Szczelność komory optycznej IP66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Szczelność komory elektrycznej IP66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Wymagany jest raport z badań szczelności pochodzący z akredytowanego laboratorium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wyposażona w uniwersalny uchwyt stanowiący integralną część oprawy oraz pozwalający na montaż zarówno na wysięgniku jak i bezpośrednio na słupie. Kąt nachylenia oprawy jest możliwy w zakresie: od -10° do 120° (montaż bezpośredni) lub od -100° do 30° (montaż na wysięgniku). Zmiana sposobu montażu odbywa się bez konieczności zdejmowania oprawy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Uchwyt montażowy wykonany z tego samego materiału co korpus oprawy oraz malowany proszkowo na ten sam kolor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Uchwyt montażowy spełnia wymogi dotyczące wibracji ANSI C136-31 3G. Wymagany jest raport z badań pochodzący z akredytowanego laboratorium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Elementy mocujące oprawę na słupie, wysięgniku (śruby, podkładki) oraz klamry zamykające muszą być wykonane ze stali nierdzewnej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Dostęp do komory osprzętu elektrycznego bez użycia narzędzi za pomocą dwóch niezależnych zatrzasków. Oprawa posiada dedykowane zawiasy chroniące pokrywę osprzętu przed upadkiem. Nie dopuszcza się śrub typu „motylek” i podobnych.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 xml:space="preserve">Dostęp do komory osprzętu elektrycznego po zamontowaniu oprawy musi odbywać się od dołu. 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Budowa oprawy pozwala na wymianę układu optycznego oraz modułu zasilającego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Wymiana elementów układu optycznego bez konieczności wykonywania połączeń lutowanych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lastRenderedPageBreak/>
        <w:t>Oprawa wyposażona w system regulacji ciśnienia wewnątrz oprawy, zapobiegający zjawisku kondensacji pary wodnej w komorze elektrycznej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wyposażona w system optymalnego odprowadzenia ciepła (termiczne rozdzielenie pomiędzy układem zasilającym, a układem optycznym)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wykonana w technologii LED, bryła fotometryczna kształtowana za pomocą płaskiej wielosoczewkowej matrycy LED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Temperatura barwowa źródeł światła: 4000K ±10%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Każda z soczewek matrycy emituje taką samą krzywą światłości, a całkowity strumień oprawy jest sumą strumieni poszczególnych soczewek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color w:val="FF0000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Oprawy muszą spełniać wymagania normy EN 62471 „Bezpieczeństwo fotobiologiczne lamp i systemów lampowych”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color w:val="00B0F0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Trwałość strumienia światła oprawy mierzona parametrem L90B10 dla temperatury T</w:t>
      </w:r>
      <w:r w:rsidRPr="005F0D6C">
        <w:rPr>
          <w:rFonts w:cstheme="minorHAnsi"/>
          <w:sz w:val="24"/>
          <w:szCs w:val="24"/>
          <w:vertAlign w:val="subscript"/>
        </w:rPr>
        <w:t xml:space="preserve">C </w:t>
      </w:r>
      <w:r w:rsidRPr="005F0D6C">
        <w:rPr>
          <w:rFonts w:cstheme="minorHAnsi"/>
          <w:sz w:val="24"/>
          <w:szCs w:val="24"/>
        </w:rPr>
        <w:t xml:space="preserve">= 105°C min. 100 000h (zgodnie z IES LM-80 TM-21) 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Wartości wskaźnika udziału światła wysyłanego ku górze (ULOR) nie większa niż określona w Rozporządzeniu WE nr 245/2009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 xml:space="preserve">Oprawa posiada moduł przyłączeniowy z wbudowanym ogranicznikiem przepięć 10kV typu 3 dedykowanym zarówno do opraw wykonanych w I jak i II klasy ochronności przeciwporażeniowej. Urządzenie ma możliwość posiadania dodatkowych wejść dedykowanych do funkcjonalności: Bi-Power, 1-10V lub DALI. Tworzenie połączeń elektrycznych w obrębie urządzenia odbywa się w sposób </w:t>
      </w:r>
      <w:proofErr w:type="spellStart"/>
      <w:r w:rsidRPr="005F0D6C">
        <w:rPr>
          <w:rFonts w:cstheme="minorHAnsi"/>
          <w:sz w:val="24"/>
          <w:szCs w:val="24"/>
        </w:rPr>
        <w:t>beznarzędziowy</w:t>
      </w:r>
      <w:proofErr w:type="spellEnd"/>
      <w:r w:rsidRPr="005F0D6C">
        <w:rPr>
          <w:rFonts w:cstheme="minorHAnsi"/>
          <w:sz w:val="24"/>
          <w:szCs w:val="24"/>
        </w:rPr>
        <w:t>. Moduł przyłączeniowy posiada także diodę, która informuje użytkownika o prawidłowym działaniu urządzenia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 xml:space="preserve">Układ zasilający umożliwiający zaprogramowanie co najmniej </w:t>
      </w:r>
      <w:r w:rsidR="00C70982">
        <w:rPr>
          <w:rFonts w:cstheme="minorHAnsi"/>
          <w:sz w:val="24"/>
          <w:szCs w:val="24"/>
        </w:rPr>
        <w:t>3</w:t>
      </w:r>
      <w:r w:rsidRPr="005F0D6C">
        <w:rPr>
          <w:rFonts w:cstheme="minorHAnsi"/>
          <w:sz w:val="24"/>
          <w:szCs w:val="24"/>
        </w:rPr>
        <w:t xml:space="preserve"> stopni autonomicznej redukcji mocy i strumienia świetlnego bez zewnętrznego sygnału sterującego, zgodnie z ustalonym wcześniej harmonogramem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proofErr w:type="spellStart"/>
      <w:r w:rsidRPr="005F0D6C">
        <w:rPr>
          <w:rFonts w:cstheme="minorHAnsi"/>
          <w:sz w:val="24"/>
          <w:szCs w:val="24"/>
        </w:rPr>
        <w:t>Beznarzędziowe</w:t>
      </w:r>
      <w:proofErr w:type="spellEnd"/>
      <w:r w:rsidRPr="005F0D6C">
        <w:rPr>
          <w:rFonts w:cstheme="minorHAnsi"/>
          <w:sz w:val="24"/>
          <w:szCs w:val="24"/>
        </w:rPr>
        <w:t xml:space="preserve"> podłączenie oprawy do sieci zasilającej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wykonana w II klasie ochronności elektrycznej, znamionowe napięcie zasilania 220-240 V / 50-60 Hz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Zakres temperatury otoczenia podczas pracy oprawy: od -40°C do +40°C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contextualSpacing w:val="0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musi być oznakowana znakiem CE oraz  posiadać deklarację zgodności  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contextualSpacing w:val="0"/>
        <w:jc w:val="both"/>
        <w:rPr>
          <w:rFonts w:cstheme="minorHAnsi"/>
          <w:color w:val="00B050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17067 - certyfikat ENEC lub równoważny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contextualSpacing w:val="0"/>
        <w:jc w:val="both"/>
        <w:rPr>
          <w:rFonts w:cstheme="minorHAnsi"/>
          <w:color w:val="FF0000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Oprawa musi posiadać aktualny certyfikat akredytowanego ośrodka badawczego potwierdzający wiarygodność podawanych  przez producenta parametrów funkcjonalnych deklarowanych w momencie wprowadzenia wyrobu do obrotu, takich jak: napięcie zasilania, klasa ochronności elektrycznej, pobierana moc, skuteczność świetlna, temperatura barwowa,  strumień świetlny - certyfikat ENEC+ lub równoważny</w:t>
      </w:r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contextualSpacing w:val="0"/>
        <w:jc w:val="both"/>
        <w:rPr>
          <w:rFonts w:cstheme="minorHAnsi"/>
          <w:color w:val="FF0000"/>
          <w:sz w:val="24"/>
          <w:szCs w:val="24"/>
        </w:rPr>
      </w:pPr>
      <w:r w:rsidRPr="005F0D6C">
        <w:rPr>
          <w:rFonts w:cstheme="minorHAnsi"/>
          <w:sz w:val="24"/>
          <w:szCs w:val="24"/>
        </w:rPr>
        <w:t xml:space="preserve">Oprawa posiada certyfikat </w:t>
      </w:r>
      <w:proofErr w:type="spellStart"/>
      <w:r w:rsidRPr="005F0D6C">
        <w:rPr>
          <w:rFonts w:cstheme="minorHAnsi"/>
          <w:sz w:val="24"/>
          <w:szCs w:val="24"/>
        </w:rPr>
        <w:t>Zhaga</w:t>
      </w:r>
      <w:proofErr w:type="spellEnd"/>
      <w:r w:rsidRPr="005F0D6C">
        <w:rPr>
          <w:rFonts w:cstheme="minorHAnsi"/>
          <w:sz w:val="24"/>
          <w:szCs w:val="24"/>
        </w:rPr>
        <w:t xml:space="preserve"> D4i, publikowany na oficjalnej stronie ZHAGA </w:t>
      </w:r>
      <w:proofErr w:type="spellStart"/>
      <w:r w:rsidRPr="005F0D6C">
        <w:rPr>
          <w:rFonts w:cstheme="minorHAnsi"/>
          <w:sz w:val="24"/>
          <w:szCs w:val="24"/>
        </w:rPr>
        <w:t>Consortium</w:t>
      </w:r>
      <w:proofErr w:type="spellEnd"/>
    </w:p>
    <w:p w:rsidR="00B26885" w:rsidRPr="005F0D6C" w:rsidRDefault="00B26885" w:rsidP="00B26885">
      <w:pPr>
        <w:pStyle w:val="Akapitzlist"/>
        <w:numPr>
          <w:ilvl w:val="0"/>
          <w:numId w:val="1"/>
        </w:numPr>
        <w:suppressAutoHyphens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5F0D6C">
        <w:rPr>
          <w:rFonts w:cstheme="minorHAnsi"/>
          <w:sz w:val="24"/>
          <w:szCs w:val="24"/>
        </w:rPr>
        <w:t>Dostępność plików fotometrycznych (np. format .</w:t>
      </w:r>
      <w:proofErr w:type="spellStart"/>
      <w:r w:rsidRPr="005F0D6C">
        <w:rPr>
          <w:rFonts w:cstheme="minorHAnsi"/>
          <w:sz w:val="24"/>
          <w:szCs w:val="24"/>
        </w:rPr>
        <w:t>Ldt</w:t>
      </w:r>
      <w:proofErr w:type="spellEnd"/>
      <w:r w:rsidRPr="005F0D6C">
        <w:rPr>
          <w:rFonts w:cstheme="minorHAnsi"/>
          <w:sz w:val="24"/>
          <w:szCs w:val="24"/>
        </w:rPr>
        <w:t xml:space="preserve">, .les). Pliki zamieszczone na stronie internetowej producenta lub dystrybutora pozwalające wykonać sprawdzające obliczenia fotometryczne w ogólnodostępnych oświetleniowych programach komputerowych (np. </w:t>
      </w:r>
      <w:proofErr w:type="spellStart"/>
      <w:r w:rsidRPr="005F0D6C">
        <w:rPr>
          <w:rFonts w:cstheme="minorHAnsi"/>
          <w:sz w:val="24"/>
          <w:szCs w:val="24"/>
        </w:rPr>
        <w:t>Dialux</w:t>
      </w:r>
      <w:proofErr w:type="spellEnd"/>
      <w:r w:rsidRPr="005F0D6C">
        <w:rPr>
          <w:rFonts w:cstheme="minorHAnsi"/>
          <w:sz w:val="24"/>
          <w:szCs w:val="24"/>
        </w:rPr>
        <w:t xml:space="preserve">, </w:t>
      </w:r>
      <w:proofErr w:type="spellStart"/>
      <w:r w:rsidRPr="005F0D6C">
        <w:rPr>
          <w:rFonts w:cstheme="minorHAnsi"/>
          <w:sz w:val="24"/>
          <w:szCs w:val="24"/>
        </w:rPr>
        <w:t>Relux</w:t>
      </w:r>
      <w:proofErr w:type="spellEnd"/>
      <w:r w:rsidRPr="005F0D6C">
        <w:rPr>
          <w:rFonts w:cstheme="minorHAnsi"/>
          <w:sz w:val="24"/>
          <w:szCs w:val="24"/>
        </w:rPr>
        <w:t>)</w:t>
      </w:r>
    </w:p>
    <w:p w:rsidR="000F2338" w:rsidRDefault="000F2338" w:rsidP="00B26885"/>
    <w:p w:rsidR="000F2338" w:rsidRPr="00CE06EC" w:rsidRDefault="00CE06EC" w:rsidP="005A55CE">
      <w:pPr>
        <w:pStyle w:val="Akapitzlist"/>
        <w:numPr>
          <w:ilvl w:val="0"/>
          <w:numId w:val="3"/>
        </w:numPr>
        <w:jc w:val="both"/>
        <w:rPr>
          <w:b/>
        </w:rPr>
      </w:pPr>
      <w:r w:rsidRPr="00CE06EC">
        <w:rPr>
          <w:b/>
        </w:rPr>
        <w:t>Wykonawca oferujący rozwiązania równoważne musi załączyć do oferty obliczenia fotometryczne potwierdzające spełnienie normy oświetleniowej PN-EN 13201/2016 według, której sporządzono obliczenia bazowe</w:t>
      </w:r>
      <w:r w:rsidR="005A55CE">
        <w:rPr>
          <w:b/>
        </w:rPr>
        <w:t>:</w:t>
      </w:r>
    </w:p>
    <w:p w:rsidR="000F2338" w:rsidRDefault="000F2338" w:rsidP="00B26885"/>
    <w:p w:rsidR="00CE06EC" w:rsidRPr="00CE06EC" w:rsidRDefault="00CE06EC" w:rsidP="005A55CE">
      <w:pPr>
        <w:numPr>
          <w:ilvl w:val="0"/>
          <w:numId w:val="7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CE06EC">
        <w:rPr>
          <w:b/>
          <w:sz w:val="24"/>
          <w:szCs w:val="24"/>
        </w:rPr>
        <w:t>Obliczenia fotometryczne winny zawierać: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76" w:lineRule="auto"/>
        <w:ind w:left="709" w:hanging="142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parametry drogi, stanowiska,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76" w:lineRule="auto"/>
        <w:ind w:left="851" w:hanging="284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luminancję [L1 i L2] lub natężenie w odniesieniu do obserwatora 1 i 2 (tabele rozkładu luminancji i natężenia w formie liczbowej),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76" w:lineRule="auto"/>
        <w:ind w:left="709" w:hanging="142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podsumowanie rezultatów obliczeń luminancji i natężenia,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  <w:tab w:val="left" w:pos="1276"/>
        </w:tabs>
        <w:spacing w:line="276" w:lineRule="auto"/>
        <w:ind w:left="709" w:hanging="142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olśnienie [TI],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  <w:tab w:val="left" w:pos="1276"/>
        </w:tabs>
        <w:spacing w:line="276" w:lineRule="auto"/>
        <w:ind w:left="709" w:hanging="142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równomierność oświetlenia [</w:t>
      </w:r>
      <w:proofErr w:type="spellStart"/>
      <w:r w:rsidRPr="00CE06EC">
        <w:rPr>
          <w:rFonts w:eastAsia="Calibri"/>
          <w:sz w:val="24"/>
          <w:szCs w:val="24"/>
        </w:rPr>
        <w:t>Uo</w:t>
      </w:r>
      <w:proofErr w:type="spellEnd"/>
      <w:r w:rsidRPr="00CE06EC">
        <w:rPr>
          <w:rFonts w:eastAsia="Calibri"/>
          <w:sz w:val="24"/>
          <w:szCs w:val="24"/>
        </w:rPr>
        <w:t xml:space="preserve"> i Ul],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76" w:lineRule="auto"/>
        <w:ind w:left="709" w:hanging="142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współczynnik oświetlenia otoczenia [EIR],</w:t>
      </w:r>
    </w:p>
    <w:p w:rsidR="00CE06EC" w:rsidRPr="00CE06EC" w:rsidRDefault="00CE06EC" w:rsidP="00CE06EC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76" w:lineRule="auto"/>
        <w:ind w:left="709" w:hanging="142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z w:val="24"/>
          <w:szCs w:val="24"/>
        </w:rPr>
        <w:t>współczynnik utrzymania, zgodnie z metodyką wyliczenia, tj.:</w:t>
      </w:r>
    </w:p>
    <w:p w:rsidR="00CE06EC" w:rsidRPr="005A55CE" w:rsidRDefault="00CE06EC" w:rsidP="00CE06EC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851" w:hanging="284"/>
        <w:jc w:val="both"/>
        <w:rPr>
          <w:rFonts w:eastAsia="Calibri"/>
          <w:sz w:val="24"/>
          <w:szCs w:val="24"/>
        </w:rPr>
      </w:pPr>
      <w:r w:rsidRPr="00CE06EC">
        <w:rPr>
          <w:rFonts w:eastAsia="Calibri"/>
          <w:spacing w:val="-2"/>
          <w:sz w:val="24"/>
          <w:szCs w:val="24"/>
        </w:rPr>
        <w:t xml:space="preserve">dla opraw z szybą ochraniającą soczewkowy układ optyczny - o wartości </w:t>
      </w:r>
      <w:r w:rsidRPr="00CE06EC">
        <w:rPr>
          <w:rFonts w:eastAsia="Calibri"/>
          <w:b/>
          <w:spacing w:val="-2"/>
          <w:sz w:val="24"/>
          <w:szCs w:val="24"/>
        </w:rPr>
        <w:t>maksymalnej</w:t>
      </w:r>
      <w:r w:rsidRPr="00CE06EC">
        <w:rPr>
          <w:rFonts w:eastAsia="Calibri"/>
          <w:spacing w:val="-2"/>
          <w:sz w:val="24"/>
          <w:szCs w:val="24"/>
        </w:rPr>
        <w:t xml:space="preserve"> </w:t>
      </w:r>
      <w:r w:rsidRPr="00CE06EC">
        <w:rPr>
          <w:rFonts w:eastAsia="Calibri"/>
          <w:b/>
          <w:spacing w:val="-2"/>
          <w:sz w:val="24"/>
          <w:szCs w:val="24"/>
        </w:rPr>
        <w:t>0,8</w:t>
      </w:r>
      <w:r w:rsidRPr="00CE06EC">
        <w:rPr>
          <w:rFonts w:eastAsia="Calibri"/>
          <w:b/>
          <w:sz w:val="24"/>
          <w:szCs w:val="24"/>
        </w:rPr>
        <w:t>.</w:t>
      </w:r>
    </w:p>
    <w:p w:rsidR="005A55CE" w:rsidRPr="00CE06EC" w:rsidRDefault="005A55CE" w:rsidP="005A55CE">
      <w:pPr>
        <w:shd w:val="clear" w:color="auto" w:fill="FFFFFF"/>
        <w:tabs>
          <w:tab w:val="left" w:pos="851"/>
        </w:tabs>
        <w:spacing w:line="276" w:lineRule="auto"/>
        <w:ind w:left="851"/>
        <w:jc w:val="both"/>
        <w:rPr>
          <w:rFonts w:eastAsia="Calibri"/>
          <w:sz w:val="24"/>
          <w:szCs w:val="24"/>
        </w:rPr>
      </w:pPr>
    </w:p>
    <w:p w:rsidR="00CE06EC" w:rsidRPr="00CE06EC" w:rsidRDefault="00CE06EC" w:rsidP="00CE06EC">
      <w:pPr>
        <w:shd w:val="clear" w:color="auto" w:fill="FFFFFF"/>
        <w:tabs>
          <w:tab w:val="left" w:pos="284"/>
        </w:tabs>
        <w:spacing w:line="276" w:lineRule="auto"/>
        <w:jc w:val="both"/>
        <w:rPr>
          <w:rFonts w:eastAsia="Calibri"/>
          <w:b/>
          <w:sz w:val="24"/>
          <w:szCs w:val="24"/>
        </w:rPr>
      </w:pPr>
      <w:r w:rsidRPr="00CE06EC">
        <w:rPr>
          <w:rFonts w:eastAsia="Calibri"/>
          <w:sz w:val="24"/>
          <w:szCs w:val="24"/>
        </w:rPr>
        <w:t>Celem przedstawienia obliczeń jest udokumentowanie, że proponowane przez Wykonawcę oprawy oświetleniowe LED, spełniają wymagania techniczn</w:t>
      </w:r>
      <w:r w:rsidR="0036459D">
        <w:rPr>
          <w:rFonts w:eastAsia="Calibri"/>
          <w:sz w:val="24"/>
          <w:szCs w:val="24"/>
        </w:rPr>
        <w:t>e,</w:t>
      </w:r>
      <w:r w:rsidR="00A23442">
        <w:rPr>
          <w:rFonts w:eastAsia="Calibri"/>
          <w:sz w:val="24"/>
          <w:szCs w:val="24"/>
        </w:rPr>
        <w:t xml:space="preserve"> </w:t>
      </w:r>
      <w:r w:rsidR="0036459D">
        <w:rPr>
          <w:rFonts w:eastAsia="Calibri"/>
          <w:sz w:val="24"/>
          <w:szCs w:val="24"/>
        </w:rPr>
        <w:t xml:space="preserve">jakościowe i </w:t>
      </w:r>
      <w:r w:rsidRPr="00CE06EC">
        <w:rPr>
          <w:rFonts w:eastAsia="Calibri"/>
          <w:sz w:val="24"/>
          <w:szCs w:val="24"/>
        </w:rPr>
        <w:t xml:space="preserve">użytkowe Zamawiającego. Na Wykonawcy ciąży obowiązek udokumentowania, spełnienia wymagań, poprzez wykonanie i załączenie do oferty obliczeń fotometrycznych oświetlenia dróg i ulic, zawierających wszystkie elementy zawarte w obliczeniach, stanowiących zawartość załącznika nr </w:t>
      </w:r>
      <w:r w:rsidR="0036459D">
        <w:rPr>
          <w:rFonts w:eastAsia="Calibri"/>
          <w:sz w:val="24"/>
          <w:szCs w:val="24"/>
        </w:rPr>
        <w:t>.....</w:t>
      </w:r>
      <w:r w:rsidRPr="00CE06EC">
        <w:rPr>
          <w:rFonts w:eastAsia="Calibri"/>
          <w:sz w:val="24"/>
          <w:szCs w:val="24"/>
        </w:rPr>
        <w:t xml:space="preserve"> do SIWZ. Obliczenia oraz prezentacja wyników obliczeń musi być w pełni zgodna z przyjętymi w założeniach projektowych Zamawiającego, tj. identyczna geometria dróg i usytuowania słupów, identyczny poziom współczynnika zapasu (ew. odwrotności - wskaźnika utrzymania), parametrów rodzaju nawierzchni, parametrów – położenia obserwatorów, oraz wydruki muszą zawierać wszystkie wyliczone parametry dla punktów zgodnie z siatką obliczeniową Zamawiającego.</w:t>
      </w:r>
    </w:p>
    <w:p w:rsidR="00CE06EC" w:rsidRPr="00CE06EC" w:rsidRDefault="00CE06EC" w:rsidP="00CE06EC">
      <w:pPr>
        <w:tabs>
          <w:tab w:val="left" w:pos="567"/>
        </w:tabs>
        <w:spacing w:line="276" w:lineRule="auto"/>
        <w:jc w:val="both"/>
        <w:rPr>
          <w:sz w:val="24"/>
          <w:szCs w:val="24"/>
          <w:u w:val="single"/>
        </w:rPr>
      </w:pPr>
      <w:r w:rsidRPr="00CE06EC">
        <w:rPr>
          <w:b/>
          <w:sz w:val="24"/>
          <w:szCs w:val="24"/>
        </w:rPr>
        <w:t xml:space="preserve">W celu zapewnienia możliwości porównania parametrów opraw, w obliczeniach należy podawać identyczne położenia punktu świetlnego, jak w zawartych w „Opisie wymagań dotyczących funkcjonalności modernizowanego systemu oświetlenia drogowego na terenie </w:t>
      </w:r>
      <w:r w:rsidR="001444EE">
        <w:rPr>
          <w:b/>
          <w:sz w:val="24"/>
          <w:szCs w:val="24"/>
        </w:rPr>
        <w:t xml:space="preserve">Gminy </w:t>
      </w:r>
      <w:r w:rsidR="0036459D">
        <w:rPr>
          <w:b/>
          <w:sz w:val="24"/>
          <w:szCs w:val="24"/>
        </w:rPr>
        <w:t>Perlejewo</w:t>
      </w:r>
      <w:r w:rsidRPr="00CE06EC">
        <w:rPr>
          <w:b/>
          <w:sz w:val="24"/>
          <w:szCs w:val="24"/>
        </w:rPr>
        <w:t xml:space="preserve">” obliczeniach fotometrycznych, niezależnie od sposobu </w:t>
      </w:r>
      <w:proofErr w:type="spellStart"/>
      <w:r w:rsidRPr="00CE06EC">
        <w:rPr>
          <w:b/>
          <w:sz w:val="24"/>
          <w:szCs w:val="24"/>
        </w:rPr>
        <w:t>fotometrowania</w:t>
      </w:r>
      <w:proofErr w:type="spellEnd"/>
      <w:r w:rsidRPr="00CE06EC">
        <w:rPr>
          <w:b/>
          <w:sz w:val="24"/>
          <w:szCs w:val="24"/>
        </w:rPr>
        <w:t xml:space="preserve"> oprawy, tzn. bez względu na to, czy w </w:t>
      </w:r>
      <w:proofErr w:type="spellStart"/>
      <w:r w:rsidRPr="00CE06EC">
        <w:rPr>
          <w:b/>
          <w:sz w:val="24"/>
          <w:szCs w:val="24"/>
        </w:rPr>
        <w:t>fotometrowaniu</w:t>
      </w:r>
      <w:proofErr w:type="spellEnd"/>
      <w:r w:rsidRPr="00CE06EC">
        <w:rPr>
          <w:b/>
          <w:sz w:val="24"/>
          <w:szCs w:val="24"/>
        </w:rPr>
        <w:t xml:space="preserve"> oprawy uwzględniana jest wielkość oprawy, czy cała oprawa jest prezentowana, jako punkt świetlny. Obliczenia wykonane w sposób uniemożliwiający porównanie będą skutkować odrzuceniem oferty.</w:t>
      </w:r>
    </w:p>
    <w:p w:rsidR="00CE06EC" w:rsidRPr="00A23442" w:rsidRDefault="00CE06EC" w:rsidP="00A23442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ind w:left="426"/>
        <w:jc w:val="both"/>
        <w:rPr>
          <w:sz w:val="24"/>
          <w:szCs w:val="24"/>
          <w:u w:val="single"/>
        </w:rPr>
      </w:pPr>
      <w:r w:rsidRPr="00A23442">
        <w:rPr>
          <w:sz w:val="24"/>
          <w:szCs w:val="24"/>
          <w:u w:val="single"/>
        </w:rPr>
        <w:t xml:space="preserve">Wraz z obliczeniami fotometrycznymi Wykonawca składa dane techniczne właściwości opraw – rozsyły fotometryczne opraw oświetleniowych – w formie bazy danych (w formacie </w:t>
      </w:r>
      <w:proofErr w:type="spellStart"/>
      <w:r w:rsidRPr="00A23442">
        <w:rPr>
          <w:sz w:val="24"/>
          <w:szCs w:val="24"/>
          <w:u w:val="single"/>
        </w:rPr>
        <w:t>eulumdat</w:t>
      </w:r>
      <w:proofErr w:type="spellEnd"/>
      <w:r w:rsidRPr="00A23442">
        <w:rPr>
          <w:sz w:val="24"/>
          <w:szCs w:val="24"/>
          <w:u w:val="single"/>
        </w:rPr>
        <w:t xml:space="preserve"> - .</w:t>
      </w:r>
      <w:proofErr w:type="spellStart"/>
      <w:r w:rsidRPr="00A23442">
        <w:rPr>
          <w:sz w:val="24"/>
          <w:szCs w:val="24"/>
          <w:u w:val="single"/>
        </w:rPr>
        <w:t>ldt</w:t>
      </w:r>
      <w:proofErr w:type="spellEnd"/>
      <w:r w:rsidRPr="00A23442">
        <w:rPr>
          <w:sz w:val="24"/>
          <w:szCs w:val="24"/>
          <w:u w:val="single"/>
        </w:rPr>
        <w:t>), umożliwiające na ich podstawie dokonanie weryfikacji wyliczeń parametrów oświetleniowych w ogólnie dostępnym programie komputerowym. Dane fotometryczne stanowią integralną część obliczeń fotometrycznych.</w:t>
      </w:r>
    </w:p>
    <w:p w:rsidR="005A55CE" w:rsidRDefault="005A55CE" w:rsidP="00CE06EC">
      <w:pPr>
        <w:tabs>
          <w:tab w:val="left" w:pos="567"/>
        </w:tabs>
        <w:spacing w:line="276" w:lineRule="auto"/>
        <w:jc w:val="both"/>
        <w:rPr>
          <w:sz w:val="24"/>
          <w:szCs w:val="24"/>
          <w:u w:val="single"/>
        </w:rPr>
      </w:pPr>
    </w:p>
    <w:p w:rsidR="005A55CE" w:rsidRDefault="005A55CE" w:rsidP="00CE06EC">
      <w:pPr>
        <w:tabs>
          <w:tab w:val="left" w:pos="567"/>
        </w:tabs>
        <w:spacing w:line="276" w:lineRule="auto"/>
        <w:jc w:val="both"/>
        <w:rPr>
          <w:sz w:val="24"/>
          <w:szCs w:val="24"/>
          <w:u w:val="single"/>
        </w:rPr>
      </w:pPr>
    </w:p>
    <w:p w:rsidR="0036459D" w:rsidRDefault="0036459D" w:rsidP="00CE06EC">
      <w:pPr>
        <w:tabs>
          <w:tab w:val="left" w:pos="567"/>
        </w:tabs>
        <w:spacing w:line="276" w:lineRule="auto"/>
        <w:jc w:val="both"/>
        <w:rPr>
          <w:sz w:val="24"/>
          <w:szCs w:val="24"/>
          <w:u w:val="single"/>
        </w:rPr>
      </w:pPr>
    </w:p>
    <w:p w:rsidR="00B26885" w:rsidRPr="000F2338" w:rsidRDefault="00007AA9" w:rsidP="00583314">
      <w:pPr>
        <w:pStyle w:val="Akapitzlist"/>
        <w:numPr>
          <w:ilvl w:val="0"/>
          <w:numId w:val="3"/>
        </w:numPr>
        <w:jc w:val="both"/>
        <w:rPr>
          <w:b/>
        </w:rPr>
      </w:pPr>
      <w:r>
        <w:rPr>
          <w:b/>
        </w:rPr>
        <w:lastRenderedPageBreak/>
        <w:t>Zamawiający przy realizacji niniejszego zamówienia korzysta ze środków zewnętrznych w związku i musi wykazać się spełnieniem efektów ekonomicznych i ograniczenia emisji, w związku z powyższym po wykonaniu zadania s</w:t>
      </w:r>
      <w:r w:rsidR="000F2338">
        <w:rPr>
          <w:b/>
        </w:rPr>
        <w:t xml:space="preserve">umaryczna </w:t>
      </w:r>
      <w:r w:rsidR="0036459D">
        <w:rPr>
          <w:b/>
        </w:rPr>
        <w:t>nominalna m</w:t>
      </w:r>
      <w:r w:rsidR="000F2338" w:rsidRPr="000F2338">
        <w:rPr>
          <w:b/>
        </w:rPr>
        <w:t xml:space="preserve">oc opraw </w:t>
      </w:r>
      <w:r>
        <w:rPr>
          <w:b/>
        </w:rPr>
        <w:t xml:space="preserve">(bez redukcji mocy oprawy) </w:t>
      </w:r>
      <w:r w:rsidR="000F2338" w:rsidRPr="000F2338">
        <w:rPr>
          <w:b/>
        </w:rPr>
        <w:t xml:space="preserve">po modernizacji nie może </w:t>
      </w:r>
      <w:r w:rsidR="000F2338">
        <w:rPr>
          <w:b/>
        </w:rPr>
        <w:t>być wyższa niż 1</w:t>
      </w:r>
      <w:r w:rsidR="0036459D">
        <w:rPr>
          <w:b/>
        </w:rPr>
        <w:t>4,04</w:t>
      </w:r>
      <w:r w:rsidR="000F2338">
        <w:rPr>
          <w:b/>
        </w:rPr>
        <w:t xml:space="preserve"> </w:t>
      </w:r>
      <w:proofErr w:type="spellStart"/>
      <w:r w:rsidR="000F2338">
        <w:rPr>
          <w:b/>
        </w:rPr>
        <w:t>kW</w:t>
      </w:r>
      <w:proofErr w:type="spellEnd"/>
      <w:r w:rsidR="000F2338">
        <w:rPr>
          <w:b/>
        </w:rPr>
        <w:t>, zgodnie z wynikami zawartymi w poniższej tabeli.</w:t>
      </w:r>
      <w:r>
        <w:rPr>
          <w:b/>
        </w:rPr>
        <w:t xml:space="preserve"> Przekroczenie tej mocy będzie skutkowało odrzuceniem oferty jako nie spełniającej warunków SWZ.</w:t>
      </w:r>
    </w:p>
    <w:p w:rsidR="00B26885" w:rsidRDefault="00B26885" w:rsidP="00B26885"/>
    <w:tbl>
      <w:tblPr>
        <w:tblW w:w="92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068"/>
        <w:gridCol w:w="312"/>
        <w:gridCol w:w="312"/>
        <w:gridCol w:w="312"/>
        <w:gridCol w:w="312"/>
        <w:gridCol w:w="396"/>
        <w:gridCol w:w="60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96"/>
        <w:gridCol w:w="640"/>
        <w:gridCol w:w="780"/>
      </w:tblGrid>
      <w:tr w:rsidR="0036459D" w:rsidRPr="0036459D" w:rsidTr="0036459D">
        <w:trPr>
          <w:trHeight w:val="270"/>
        </w:trPr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9D" w:rsidRPr="0036459D" w:rsidRDefault="0036459D" w:rsidP="0036459D">
            <w:pPr>
              <w:suppressAutoHyphens w:val="0"/>
              <w:rPr>
                <w:rFonts w:ascii="Arial CE" w:hAnsi="Arial CE" w:cs="Arial CE"/>
                <w:sz w:val="10"/>
                <w:szCs w:val="10"/>
                <w:lang w:eastAsia="pl-PL"/>
              </w:rPr>
            </w:pPr>
            <w:r w:rsidRPr="0036459D">
              <w:rPr>
                <w:rFonts w:ascii="Arial CE" w:hAnsi="Arial CE" w:cs="Arial CE"/>
                <w:sz w:val="10"/>
                <w:szCs w:val="10"/>
                <w:lang w:eastAsia="pl-PL"/>
              </w:rPr>
              <w:t> </w:t>
            </w:r>
          </w:p>
        </w:tc>
        <w:tc>
          <w:tcPr>
            <w:tcW w:w="217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  <w:t>Stan przed modernizacją</w:t>
            </w:r>
          </w:p>
        </w:tc>
        <w:tc>
          <w:tcPr>
            <w:tcW w:w="595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  <w:t>Stan po modernizacji</w:t>
            </w:r>
          </w:p>
        </w:tc>
      </w:tr>
      <w:tr w:rsidR="0036459D" w:rsidRPr="0036459D" w:rsidTr="0036459D">
        <w:trPr>
          <w:trHeight w:val="4305"/>
        </w:trPr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Status opraw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sodowe 70W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sodowe 100W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sodowe 150 W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sodowe 250 W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Liczba opraw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 xml:space="preserve">Moc skorygowana o współczynnik strat przed </w:t>
            </w:r>
            <w:proofErr w:type="spellStart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modrnizacją</w:t>
            </w:r>
            <w:proofErr w:type="spellEnd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 xml:space="preserve"> w (</w:t>
            </w:r>
            <w:proofErr w:type="spellStart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kW</w:t>
            </w:r>
            <w:proofErr w:type="spellEnd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24W,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29W, ze sterownikiem do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35W,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46W,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47W,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67W,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68W,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88W, ze sterownikiem do programowania redukcji mocy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" w:hAnsi="Arial" w:cs="Arial"/>
                <w:b/>
                <w:bCs/>
                <w:sz w:val="14"/>
                <w:szCs w:val="14"/>
                <w:lang w:eastAsia="pl-PL"/>
              </w:rPr>
              <w:t>Oprawa LED 128W, ze sterownikiem do programowania redukcji mocy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Liczba opraw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Moc skorygowana o współczynnik strat po modernizacji (</w:t>
            </w:r>
            <w:proofErr w:type="spellStart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wskażnik</w:t>
            </w:r>
            <w:proofErr w:type="spellEnd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 xml:space="preserve"> strat 1,1) w (</w:t>
            </w:r>
            <w:proofErr w:type="spellStart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kW</w:t>
            </w:r>
            <w:proofErr w:type="spellEnd"/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) z uwzględnieniem redukcji mocy w godzinach nocnych (wskaźnik redukcji 1,3215)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  <w:t>Oszczędność [%]</w:t>
            </w:r>
          </w:p>
        </w:tc>
      </w:tr>
      <w:tr w:rsidR="0036459D" w:rsidRPr="0036459D" w:rsidTr="0036459D">
        <w:trPr>
          <w:trHeight w:val="345"/>
        </w:trPr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b/>
                <w:bCs/>
                <w:sz w:val="14"/>
                <w:szCs w:val="14"/>
                <w:lang w:eastAsia="pl-PL"/>
              </w:rPr>
              <w:t>Wymiana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81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139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20,98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254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14,04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36459D">
              <w:rPr>
                <w:rFonts w:ascii="Arial CE" w:hAnsi="Arial CE" w:cs="Arial CE"/>
                <w:sz w:val="16"/>
                <w:szCs w:val="16"/>
                <w:lang w:eastAsia="pl-PL"/>
              </w:rPr>
              <w:t>33,07%</w:t>
            </w:r>
          </w:p>
        </w:tc>
      </w:tr>
      <w:tr w:rsidR="0036459D" w:rsidRPr="0036459D" w:rsidTr="0036459D">
        <w:trPr>
          <w:trHeight w:val="270"/>
        </w:trPr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9D" w:rsidRPr="0036459D" w:rsidRDefault="0036459D" w:rsidP="0036459D">
            <w:pPr>
              <w:suppressAutoHyphens w:val="0"/>
              <w:rPr>
                <w:rFonts w:ascii="Arial CE" w:hAnsi="Arial CE" w:cs="Arial CE"/>
                <w:sz w:val="14"/>
                <w:szCs w:val="1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81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139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20,98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254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4"/>
                <w:szCs w:val="14"/>
                <w:lang w:eastAsia="pl-PL"/>
              </w:rPr>
            </w:pPr>
            <w:r w:rsidRPr="0036459D">
              <w:rPr>
                <w:rFonts w:ascii="Arial CE" w:hAnsi="Arial CE" w:cs="Arial CE"/>
                <w:sz w:val="14"/>
                <w:szCs w:val="14"/>
                <w:lang w:eastAsia="pl-PL"/>
              </w:rPr>
              <w:t>14,04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59D" w:rsidRPr="0036459D" w:rsidRDefault="0036459D" w:rsidP="0036459D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36459D">
              <w:rPr>
                <w:rFonts w:ascii="Arial CE" w:hAnsi="Arial CE" w:cs="Arial CE"/>
                <w:sz w:val="16"/>
                <w:szCs w:val="16"/>
                <w:lang w:eastAsia="pl-PL"/>
              </w:rPr>
              <w:t>33,07%</w:t>
            </w:r>
          </w:p>
        </w:tc>
      </w:tr>
    </w:tbl>
    <w:p w:rsidR="00B26885" w:rsidRDefault="00B26885" w:rsidP="00B26885"/>
    <w:p w:rsidR="00253BDC" w:rsidRDefault="00253BDC" w:rsidP="00B26885"/>
    <w:p w:rsidR="00253BDC" w:rsidRPr="00B26885" w:rsidRDefault="00253BDC" w:rsidP="00B26885"/>
    <w:sectPr w:rsidR="00253BDC" w:rsidRPr="00B26885" w:rsidSect="00756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97F32"/>
    <w:multiLevelType w:val="hybridMultilevel"/>
    <w:tmpl w:val="C62888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A02EBF"/>
    <w:multiLevelType w:val="hybridMultilevel"/>
    <w:tmpl w:val="16226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107B5"/>
    <w:multiLevelType w:val="hybridMultilevel"/>
    <w:tmpl w:val="9FAE4CA8"/>
    <w:lvl w:ilvl="0" w:tplc="00000009">
      <w:start w:val="1"/>
      <w:numFmt w:val="bullet"/>
      <w:lvlText w:val="-"/>
      <w:lvlJc w:val="left"/>
      <w:pPr>
        <w:ind w:left="1361" w:hanging="360"/>
      </w:pPr>
      <w:rPr>
        <w:rFonts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">
    <w:nsid w:val="5729001D"/>
    <w:multiLevelType w:val="hybridMultilevel"/>
    <w:tmpl w:val="6556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E83211"/>
    <w:multiLevelType w:val="hybridMultilevel"/>
    <w:tmpl w:val="E49A8B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9D9066A"/>
    <w:multiLevelType w:val="hybridMultilevel"/>
    <w:tmpl w:val="4FA282A4"/>
    <w:lvl w:ilvl="0" w:tplc="81CC14C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95168"/>
    <w:multiLevelType w:val="hybridMultilevel"/>
    <w:tmpl w:val="71485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6885"/>
    <w:rsid w:val="00007AA9"/>
    <w:rsid w:val="000F2338"/>
    <w:rsid w:val="000F54F3"/>
    <w:rsid w:val="001444EE"/>
    <w:rsid w:val="00253BDC"/>
    <w:rsid w:val="0036459D"/>
    <w:rsid w:val="004D7B9F"/>
    <w:rsid w:val="00561254"/>
    <w:rsid w:val="00583314"/>
    <w:rsid w:val="005A1DDA"/>
    <w:rsid w:val="005A55CE"/>
    <w:rsid w:val="006B7932"/>
    <w:rsid w:val="007562D8"/>
    <w:rsid w:val="00A23442"/>
    <w:rsid w:val="00B26885"/>
    <w:rsid w:val="00B3600C"/>
    <w:rsid w:val="00C70982"/>
    <w:rsid w:val="00C858EF"/>
    <w:rsid w:val="00CE06EC"/>
    <w:rsid w:val="00E0605F"/>
    <w:rsid w:val="00EA1800"/>
    <w:rsid w:val="00EB6A7C"/>
    <w:rsid w:val="00FD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88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Jacek</cp:lastModifiedBy>
  <cp:revision>10</cp:revision>
  <dcterms:created xsi:type="dcterms:W3CDTF">2021-10-26T12:08:00Z</dcterms:created>
  <dcterms:modified xsi:type="dcterms:W3CDTF">2021-10-29T11:42:00Z</dcterms:modified>
</cp:coreProperties>
</file>