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49D0C916"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4E2F9E" w:rsidRPr="004E2F9E">
        <w:rPr>
          <w:rFonts w:asciiTheme="minorHAnsi" w:eastAsia="Calibri" w:hAnsiTheme="minorHAnsi" w:cstheme="minorHAnsi"/>
          <w:b/>
          <w:color w:val="auto"/>
          <w:sz w:val="22"/>
          <w:lang w:eastAsia="en-US"/>
        </w:rPr>
        <w:t>Budowa Centrum opiekuńczo-mieszkalnego</w:t>
      </w:r>
      <w:r w:rsidR="004E2F9E">
        <w:rPr>
          <w:rFonts w:asciiTheme="minorHAnsi" w:eastAsia="Calibri" w:hAnsiTheme="minorHAnsi" w:cstheme="minorHAnsi"/>
          <w:b/>
          <w:color w:val="auto"/>
          <w:sz w:val="22"/>
          <w:lang w:eastAsia="en-US"/>
        </w:rPr>
        <w:t xml:space="preserve"> w Perlejewie</w:t>
      </w:r>
      <w:r w:rsidR="004E2F9E" w:rsidRPr="004E2F9E">
        <w:rPr>
          <w:rFonts w:asciiTheme="minorHAnsi" w:eastAsia="Calibri" w:hAnsiTheme="minorHAnsi" w:cstheme="minorHAnsi"/>
          <w:b/>
          <w:color w:val="auto"/>
          <w:sz w:val="22"/>
          <w:lang w:eastAsia="en-US"/>
        </w:rPr>
        <w:t xml:space="preserve"> dostosowanego dla osób niepełnosprawnych ruchowo,</w:t>
      </w:r>
      <w:r w:rsidR="004E2F9E">
        <w:rPr>
          <w:rFonts w:asciiTheme="minorHAnsi" w:eastAsia="Calibri" w:hAnsiTheme="minorHAnsi" w:cstheme="minorHAnsi"/>
          <w:b/>
          <w:color w:val="auto"/>
          <w:sz w:val="22"/>
          <w:lang w:eastAsia="en-US"/>
        </w:rPr>
        <w:t xml:space="preserve"> </w:t>
      </w:r>
      <w:r w:rsidR="004E2F9E" w:rsidRPr="004E2F9E">
        <w:rPr>
          <w:rFonts w:asciiTheme="minorHAnsi" w:eastAsia="Calibri" w:hAnsiTheme="minorHAnsi" w:cstheme="minorHAnsi"/>
          <w:b/>
          <w:color w:val="auto"/>
          <w:sz w:val="22"/>
          <w:lang w:eastAsia="en-US"/>
        </w:rPr>
        <w:t>niedowidzących i niedosłyszących</w:t>
      </w:r>
      <w:r w:rsidR="00964BDF">
        <w:rPr>
          <w:rFonts w:asciiTheme="minorHAnsi" w:eastAsia="Calibri" w:hAnsiTheme="minorHAnsi" w:cstheme="minorHAnsi"/>
          <w:b/>
          <w:color w:val="auto"/>
          <w:sz w:val="22"/>
          <w:lang w:eastAsia="en-US"/>
        </w:rPr>
        <w:t xml:space="preserve"> </w:t>
      </w:r>
      <w:r w:rsidR="00B600EE">
        <w:rPr>
          <w:rFonts w:asciiTheme="minorHAnsi" w:eastAsia="Calibri" w:hAnsiTheme="minorHAnsi" w:cstheme="minorHAnsi"/>
          <w:b/>
          <w:color w:val="auto"/>
          <w:sz w:val="22"/>
          <w:lang w:eastAsia="en-US"/>
        </w:rPr>
        <w:t>wraz z</w:t>
      </w:r>
      <w:r w:rsidR="00964BDF">
        <w:rPr>
          <w:rFonts w:asciiTheme="minorHAnsi" w:eastAsia="Calibri" w:hAnsiTheme="minorHAnsi" w:cstheme="minorHAnsi"/>
          <w:b/>
          <w:color w:val="auto"/>
          <w:sz w:val="22"/>
          <w:lang w:eastAsia="en-US"/>
        </w:rPr>
        <w:t xml:space="preserve"> zagospodarowanie</w:t>
      </w:r>
      <w:r w:rsidR="00B600EE">
        <w:rPr>
          <w:rFonts w:asciiTheme="minorHAnsi" w:eastAsia="Calibri" w:hAnsiTheme="minorHAnsi" w:cstheme="minorHAnsi"/>
          <w:b/>
          <w:color w:val="auto"/>
          <w:sz w:val="22"/>
          <w:lang w:eastAsia="en-US"/>
        </w:rPr>
        <w:t>m</w:t>
      </w:r>
      <w:r w:rsidR="00964BDF">
        <w:rPr>
          <w:rFonts w:asciiTheme="minorHAnsi" w:eastAsia="Calibri" w:hAnsiTheme="minorHAnsi" w:cstheme="minorHAnsi"/>
          <w:b/>
          <w:color w:val="auto"/>
          <w:sz w:val="22"/>
          <w:lang w:eastAsia="en-US"/>
        </w:rPr>
        <w:t xml:space="preserve">             centrum miejscowości Perlejewo</w:t>
      </w:r>
      <w:r w:rsidRPr="00F23D8E">
        <w:rPr>
          <w:rFonts w:asciiTheme="minorHAnsi" w:eastAsia="Calibri" w:hAnsiTheme="minorHAnsi" w:cstheme="minorHAnsi"/>
          <w:b/>
          <w:bCs/>
          <w:color w:val="auto"/>
          <w:sz w:val="22"/>
        </w:rPr>
        <w:t>”</w:t>
      </w:r>
    </w:p>
    <w:p w14:paraId="667B9137" w14:textId="3F3240EB"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964BDF">
        <w:rPr>
          <w:rFonts w:ascii="Calibri" w:eastAsia="Calibri" w:hAnsi="Calibri" w:cs="Times New Roman"/>
          <w:b/>
          <w:color w:val="auto"/>
          <w:sz w:val="22"/>
          <w:lang w:eastAsia="en-US"/>
        </w:rPr>
        <w:t>GP.271.1.4</w:t>
      </w:r>
      <w:r w:rsidR="004E2F9E" w:rsidRPr="00964BDF">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72DF5703"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964BDF">
        <w:rPr>
          <w:rFonts w:ascii="Calibri" w:eastAsia="Calibri" w:hAnsi="Calibri" w:cs="Times New Roman"/>
          <w:color w:val="auto"/>
          <w:sz w:val="22"/>
          <w:lang w:eastAsia="en-US"/>
        </w:rPr>
        <w:t>23</w:t>
      </w:r>
      <w:r w:rsidR="00A043B2" w:rsidRPr="00A043B2">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sierpnia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1209AF72"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FC5E609"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082310" w:rsidRPr="00964BDF">
        <w:rPr>
          <w:rFonts w:asciiTheme="minorHAnsi" w:hAnsiTheme="minorHAnsi" w:cstheme="minorHAnsi"/>
          <w:b/>
          <w:bCs/>
          <w:color w:val="auto"/>
          <w:sz w:val="22"/>
        </w:rPr>
        <w:t>GP.271.1.4</w:t>
      </w:r>
      <w:r w:rsidR="00D6336F" w:rsidRPr="00964BDF">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50137142"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Zamówienie jest współfinansowane z środków (projektu, programu)</w:t>
      </w:r>
      <w:r w:rsidR="00082310" w:rsidRPr="002A7B84">
        <w:rPr>
          <w:rFonts w:asciiTheme="minorHAnsi" w:hAnsiTheme="minorHAnsi" w:cstheme="minorHAnsi"/>
          <w:bCs/>
          <w:sz w:val="22"/>
        </w:rPr>
        <w:t xml:space="preserve"> </w:t>
      </w:r>
      <w:r w:rsidR="00082310" w:rsidRPr="002A7B84">
        <w:rPr>
          <w:rFonts w:asciiTheme="minorHAnsi" w:hAnsiTheme="minorHAnsi" w:cstheme="minorHAnsi"/>
          <w:bCs/>
          <w:color w:val="auto"/>
          <w:sz w:val="22"/>
        </w:rPr>
        <w:t>Programu „ Centra opiekuńczo – mieszkalne”</w:t>
      </w:r>
      <w:r w:rsidR="00965835">
        <w:rPr>
          <w:rFonts w:asciiTheme="minorHAnsi" w:hAnsiTheme="minorHAnsi" w:cstheme="minorHAnsi"/>
          <w:bCs/>
          <w:color w:val="auto"/>
          <w:sz w:val="22"/>
        </w:rPr>
        <w:t xml:space="preserve"> oraz Rządowego Funduszu Inwestycji Lokalnych.</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3D2BE964" w14:textId="413E1EFD" w:rsidR="002A7B84" w:rsidRDefault="00F304BA">
      <w:pPr>
        <w:numPr>
          <w:ilvl w:val="1"/>
          <w:numId w:val="1"/>
        </w:numPr>
        <w:ind w:right="337" w:hanging="852"/>
        <w:rPr>
          <w:rFonts w:asciiTheme="minorHAnsi" w:hAnsiTheme="minorHAnsi" w:cstheme="minorHAnsi"/>
          <w:b/>
          <w:bCs/>
          <w:sz w:val="22"/>
        </w:rPr>
      </w:pPr>
      <w:r w:rsidRPr="001D45CE">
        <w:rPr>
          <w:rFonts w:asciiTheme="minorHAnsi" w:hAnsiTheme="minorHAnsi" w:cstheme="minorHAnsi"/>
          <w:b/>
          <w:bCs/>
          <w:sz w:val="22"/>
        </w:rPr>
        <w:t>Przedmiot zamówienia obejmuje</w:t>
      </w:r>
      <w:r w:rsidR="002A7B84">
        <w:rPr>
          <w:rFonts w:asciiTheme="minorHAnsi" w:hAnsiTheme="minorHAnsi" w:cstheme="minorHAnsi"/>
          <w:b/>
          <w:bCs/>
          <w:sz w:val="22"/>
        </w:rPr>
        <w:t>:</w:t>
      </w:r>
    </w:p>
    <w:p w14:paraId="63991537" w14:textId="04E7D35B" w:rsidR="002A7B84" w:rsidRDefault="002A7B84" w:rsidP="000A31E0">
      <w:pPr>
        <w:pStyle w:val="Akapitzlist"/>
        <w:numPr>
          <w:ilvl w:val="0"/>
          <w:numId w:val="21"/>
        </w:numPr>
        <w:ind w:right="337"/>
        <w:rPr>
          <w:rFonts w:asciiTheme="minorHAnsi" w:hAnsiTheme="minorHAnsi" w:cstheme="minorHAnsi"/>
          <w:b/>
          <w:bCs/>
          <w:sz w:val="22"/>
        </w:rPr>
      </w:pPr>
      <w:r>
        <w:rPr>
          <w:rFonts w:asciiTheme="minorHAnsi" w:hAnsiTheme="minorHAnsi" w:cstheme="minorHAnsi"/>
          <w:b/>
          <w:bCs/>
          <w:sz w:val="22"/>
        </w:rPr>
        <w:lastRenderedPageBreak/>
        <w:t xml:space="preserve">Budowę </w:t>
      </w:r>
      <w:r w:rsidR="00360846" w:rsidRPr="002A7B84">
        <w:rPr>
          <w:rFonts w:asciiTheme="minorHAnsi" w:hAnsiTheme="minorHAnsi" w:cstheme="minorHAnsi"/>
          <w:b/>
          <w:bCs/>
          <w:sz w:val="22"/>
        </w:rPr>
        <w:t>Centrum opiekuńczo-mieszkalnego w Perlejewie dostosowanego dla osób niepełnosprawnych ruchowo, niedowidzących i niedosłyszących</w:t>
      </w:r>
      <w:r>
        <w:rPr>
          <w:rFonts w:asciiTheme="minorHAnsi" w:hAnsiTheme="minorHAnsi" w:cstheme="minorHAnsi"/>
          <w:b/>
          <w:bCs/>
          <w:sz w:val="22"/>
        </w:rPr>
        <w:t>,</w:t>
      </w:r>
    </w:p>
    <w:p w14:paraId="0B8F622D" w14:textId="4AE61B12" w:rsidR="00153B75" w:rsidRDefault="002A7B84" w:rsidP="000A31E0">
      <w:pPr>
        <w:pStyle w:val="Akapitzlist"/>
        <w:numPr>
          <w:ilvl w:val="0"/>
          <w:numId w:val="21"/>
        </w:numPr>
        <w:ind w:right="337"/>
        <w:rPr>
          <w:rFonts w:asciiTheme="minorHAnsi" w:hAnsiTheme="minorHAnsi" w:cstheme="minorHAnsi"/>
          <w:b/>
          <w:bCs/>
          <w:sz w:val="22"/>
        </w:rPr>
      </w:pPr>
      <w:r>
        <w:rPr>
          <w:rFonts w:asciiTheme="minorHAnsi" w:hAnsiTheme="minorHAnsi" w:cstheme="minorHAnsi"/>
          <w:b/>
          <w:bCs/>
          <w:sz w:val="22"/>
        </w:rPr>
        <w:t>Z</w:t>
      </w:r>
      <w:r w:rsidR="00B600EE" w:rsidRPr="002A7B84">
        <w:rPr>
          <w:rFonts w:asciiTheme="minorHAnsi" w:hAnsiTheme="minorHAnsi" w:cstheme="minorHAnsi"/>
          <w:b/>
          <w:bCs/>
          <w:sz w:val="22"/>
        </w:rPr>
        <w:t>agospodarowanie centrum miejscowości Perlejewo</w:t>
      </w:r>
      <w:r>
        <w:rPr>
          <w:rFonts w:asciiTheme="minorHAnsi" w:hAnsiTheme="minorHAnsi" w:cstheme="minorHAnsi"/>
          <w:b/>
          <w:bCs/>
          <w:sz w:val="22"/>
        </w:rPr>
        <w:t>,</w:t>
      </w:r>
    </w:p>
    <w:p w14:paraId="06586011" w14:textId="500FD5FC" w:rsidR="002A7B84" w:rsidRPr="002A7B84" w:rsidRDefault="002A7B84" w:rsidP="000A31E0">
      <w:pPr>
        <w:pStyle w:val="Akapitzlist"/>
        <w:numPr>
          <w:ilvl w:val="0"/>
          <w:numId w:val="21"/>
        </w:numPr>
        <w:ind w:right="337"/>
        <w:rPr>
          <w:rFonts w:asciiTheme="minorHAnsi" w:hAnsiTheme="minorHAnsi" w:cstheme="minorHAnsi"/>
          <w:b/>
          <w:bCs/>
          <w:sz w:val="22"/>
        </w:rPr>
      </w:pPr>
      <w:r>
        <w:rPr>
          <w:rFonts w:asciiTheme="minorHAnsi" w:hAnsiTheme="minorHAnsi" w:cstheme="minorHAnsi"/>
          <w:b/>
          <w:bCs/>
          <w:sz w:val="22"/>
        </w:rPr>
        <w:t>Wyburzenie dwóch budynków usługowo – handlowych w miejscowości Perlejewo.</w:t>
      </w:r>
    </w:p>
    <w:p w14:paraId="631296C0" w14:textId="3803EEB4" w:rsidR="00153B75" w:rsidRDefault="00153B75">
      <w:pPr>
        <w:spacing w:after="17" w:line="259" w:lineRule="auto"/>
        <w:ind w:left="706" w:right="0" w:firstLine="0"/>
        <w:jc w:val="left"/>
      </w:pPr>
    </w:p>
    <w:p w14:paraId="5B2E33C4" w14:textId="7848D085" w:rsidR="00153B75" w:rsidRDefault="001875D6">
      <w:pPr>
        <w:ind w:left="716" w:right="337"/>
        <w:rPr>
          <w:rFonts w:asciiTheme="minorHAnsi" w:hAnsiTheme="minorHAnsi" w:cstheme="minorHAnsi"/>
          <w:sz w:val="22"/>
        </w:rPr>
      </w:pPr>
      <w:r w:rsidRPr="00EE37FF">
        <w:rPr>
          <w:rFonts w:asciiTheme="minorHAnsi" w:hAnsiTheme="minorHAnsi" w:cstheme="minorHAnsi"/>
          <w:sz w:val="22"/>
        </w:rPr>
        <w:t xml:space="preserve">Nie dokonano podziału zamówienia na części z powodu: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robót,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A5F4B67" w:rsidR="00153B75" w:rsidRPr="008D0FDA" w:rsidRDefault="00360846" w:rsidP="00F304BA">
      <w:pPr>
        <w:ind w:left="718" w:right="337"/>
        <w:rPr>
          <w:rFonts w:asciiTheme="minorHAnsi" w:hAnsiTheme="minorHAnsi" w:cstheme="minorHAnsi"/>
          <w:bCs/>
          <w:sz w:val="22"/>
        </w:rPr>
      </w:pPr>
      <w:r w:rsidRPr="00360846">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629AC5A9" w:rsidR="007F7033" w:rsidRDefault="007F7033" w:rsidP="00F304BA">
      <w:pPr>
        <w:spacing w:after="17" w:line="259" w:lineRule="auto"/>
        <w:ind w:left="708" w:right="0" w:firstLine="0"/>
        <w:jc w:val="left"/>
        <w:rPr>
          <w:rFonts w:asciiTheme="minorHAnsi" w:hAnsiTheme="minorHAnsi" w:cstheme="minorHAnsi"/>
          <w:sz w:val="22"/>
        </w:rPr>
      </w:pPr>
      <w:r w:rsidRPr="007F7033">
        <w:rPr>
          <w:rFonts w:asciiTheme="minorHAnsi" w:hAnsiTheme="minorHAnsi" w:cstheme="minorHAnsi"/>
          <w:sz w:val="22"/>
        </w:rPr>
        <w:t>45111300-1</w:t>
      </w:r>
      <w:r>
        <w:rPr>
          <w:rFonts w:asciiTheme="minorHAnsi" w:hAnsiTheme="minorHAnsi" w:cstheme="minorHAnsi"/>
          <w:sz w:val="22"/>
        </w:rPr>
        <w:t xml:space="preserve"> Roboty rozbiórkowe</w:t>
      </w:r>
    </w:p>
    <w:p w14:paraId="5FAB4AFA" w14:textId="417CC0E6" w:rsidR="00360846" w:rsidRDefault="00360846" w:rsidP="00F304B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45111200-0 Roboty w zakresie przygotowania terenu pod budowę i roboty ziemne</w:t>
      </w:r>
    </w:p>
    <w:p w14:paraId="21B27075" w14:textId="114D5B11" w:rsidR="00F304BA" w:rsidRPr="00F304BA" w:rsidRDefault="00360846" w:rsidP="00F304B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45330000-9 Roboty instalacyjne wodno-kanalizacyjne i sanitarne</w:t>
      </w:r>
    </w:p>
    <w:p w14:paraId="4A0984C1" w14:textId="191EE17F" w:rsidR="00F304BA" w:rsidRDefault="00360846" w:rsidP="008D0FD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45311000-0 Roboty w zakresie okablowania oraz instalacji elektrycznych</w:t>
      </w:r>
    </w:p>
    <w:p w14:paraId="50BD8DAB" w14:textId="06A4E8B8" w:rsidR="00360846" w:rsidRDefault="00360846" w:rsidP="008D0FD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45331210-1 Instalowanie wentylacji</w:t>
      </w:r>
    </w:p>
    <w:p w14:paraId="7F8097AF" w14:textId="7C6689A9" w:rsidR="00360846" w:rsidRDefault="00360846" w:rsidP="008D0FD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45400000-1 Roboty wykończeniowe w zakresie obiektów budowlanych</w:t>
      </w:r>
    </w:p>
    <w:p w14:paraId="3611646C" w14:textId="586F8887" w:rsidR="00360846" w:rsidRDefault="00360846" w:rsidP="008D0FDA">
      <w:pPr>
        <w:spacing w:after="17" w:line="259" w:lineRule="auto"/>
        <w:ind w:left="708" w:right="0" w:firstLine="0"/>
        <w:jc w:val="left"/>
        <w:rPr>
          <w:rFonts w:asciiTheme="minorHAnsi" w:hAnsiTheme="minorHAnsi" w:cstheme="minorHAnsi"/>
          <w:sz w:val="22"/>
        </w:rPr>
      </w:pPr>
      <w:r w:rsidRPr="00360846">
        <w:rPr>
          <w:rFonts w:asciiTheme="minorHAnsi" w:hAnsiTheme="minorHAnsi" w:cstheme="minorHAnsi"/>
          <w:sz w:val="22"/>
        </w:rPr>
        <w:t>45233253-7 Roboty w zakresie nawierzchni dróg dla pieszych</w:t>
      </w:r>
    </w:p>
    <w:p w14:paraId="27375890" w14:textId="16BB8948" w:rsidR="00360846" w:rsidRDefault="00946047" w:rsidP="008D0FDA">
      <w:pPr>
        <w:spacing w:after="17" w:line="259" w:lineRule="auto"/>
        <w:ind w:left="708" w:right="0" w:firstLine="0"/>
        <w:jc w:val="left"/>
        <w:rPr>
          <w:rFonts w:asciiTheme="minorHAnsi" w:hAnsiTheme="minorHAnsi" w:cstheme="minorHAnsi"/>
          <w:sz w:val="22"/>
        </w:rPr>
      </w:pPr>
      <w:r w:rsidRPr="00946047">
        <w:rPr>
          <w:rFonts w:asciiTheme="minorHAnsi" w:hAnsiTheme="minorHAnsi" w:cstheme="minorHAnsi"/>
          <w:sz w:val="22"/>
        </w:rPr>
        <w:t>45223300-9</w:t>
      </w:r>
      <w:r>
        <w:rPr>
          <w:rFonts w:asciiTheme="minorHAnsi" w:hAnsiTheme="minorHAnsi" w:cstheme="minorHAnsi"/>
          <w:sz w:val="22"/>
        </w:rPr>
        <w:t xml:space="preserve"> </w:t>
      </w:r>
      <w:r w:rsidRPr="00946047">
        <w:rPr>
          <w:rFonts w:asciiTheme="minorHAnsi" w:hAnsiTheme="minorHAnsi" w:cstheme="minorHAnsi"/>
          <w:sz w:val="22"/>
        </w:rPr>
        <w:t>Roboty budowlane w zakresie parkingów</w:t>
      </w:r>
    </w:p>
    <w:p w14:paraId="338E4196" w14:textId="2721FEAE" w:rsidR="00946047" w:rsidRDefault="00946047" w:rsidP="008D0FDA">
      <w:pPr>
        <w:spacing w:after="17" w:line="259" w:lineRule="auto"/>
        <w:ind w:left="708" w:right="0" w:firstLine="0"/>
        <w:jc w:val="left"/>
        <w:rPr>
          <w:rFonts w:asciiTheme="minorHAnsi" w:hAnsiTheme="minorHAnsi" w:cstheme="minorHAnsi"/>
          <w:sz w:val="22"/>
        </w:rPr>
      </w:pPr>
      <w:r w:rsidRPr="00946047">
        <w:rPr>
          <w:rFonts w:asciiTheme="minorHAnsi" w:hAnsiTheme="minorHAnsi" w:cstheme="minorHAnsi"/>
          <w:sz w:val="22"/>
        </w:rPr>
        <w:t>45111291-4</w:t>
      </w:r>
      <w:r>
        <w:rPr>
          <w:rFonts w:asciiTheme="minorHAnsi" w:hAnsiTheme="minorHAnsi" w:cstheme="minorHAnsi"/>
          <w:sz w:val="22"/>
        </w:rPr>
        <w:t xml:space="preserve"> </w:t>
      </w:r>
      <w:r w:rsidRPr="00946047">
        <w:rPr>
          <w:rFonts w:asciiTheme="minorHAnsi" w:hAnsiTheme="minorHAnsi" w:cstheme="minorHAnsi"/>
          <w:sz w:val="22"/>
        </w:rPr>
        <w:t>Roboty w zakresie zagospodarowania terenu</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1BEC222E" w:rsidR="00946047" w:rsidRPr="00946047" w:rsidRDefault="00946047" w:rsidP="00946047">
      <w:pPr>
        <w:numPr>
          <w:ilvl w:val="1"/>
          <w:numId w:val="1"/>
        </w:numPr>
        <w:ind w:right="337" w:hanging="863"/>
        <w:rPr>
          <w:rFonts w:asciiTheme="minorHAnsi" w:hAnsiTheme="minorHAnsi" w:cstheme="minorHAnsi"/>
          <w:sz w:val="22"/>
        </w:rPr>
      </w:pPr>
      <w:r w:rsidRPr="00946047">
        <w:rPr>
          <w:rFonts w:asciiTheme="minorHAnsi" w:hAnsiTheme="minorHAnsi" w:cstheme="minorHAnsi"/>
          <w:sz w:val="22"/>
        </w:rPr>
        <w:t xml:space="preserve">Szczegółowo przedmiot zamówienia opisany został w dokumentacji projektowej, specyfikacjach technicznych wykonania i odbioru robót, przedmiarach stanowiących </w:t>
      </w:r>
      <w:r w:rsidRPr="00946047">
        <w:rPr>
          <w:rFonts w:asciiTheme="minorHAnsi" w:hAnsiTheme="minorHAnsi" w:cstheme="minorHAnsi"/>
          <w:b/>
          <w:bCs/>
          <w:sz w:val="22"/>
        </w:rPr>
        <w:t>Załącznik nr 1 do SWZ</w:t>
      </w:r>
      <w:r w:rsidRPr="00946047">
        <w:rPr>
          <w:rFonts w:asciiTheme="minorHAnsi" w:hAnsiTheme="minorHAnsi" w:cstheme="minorHAnsi"/>
          <w:sz w:val="22"/>
        </w:rPr>
        <w:t xml:space="preserve"> oraz w projektowanych postanowieniach umowy w sprawie zamówienia publicznego, które zostaną wprowadzone do treści umowy stanowiących </w:t>
      </w:r>
      <w:r w:rsidRPr="00946047">
        <w:rPr>
          <w:rFonts w:asciiTheme="minorHAnsi" w:hAnsiTheme="minorHAnsi" w:cstheme="minorHAnsi"/>
          <w:b/>
          <w:bCs/>
          <w:sz w:val="22"/>
        </w:rPr>
        <w:t>Załącznik nr 2 do SWZ</w:t>
      </w:r>
      <w:r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w:t>
      </w:r>
      <w:r w:rsidRPr="00A05C47">
        <w:rPr>
          <w:rFonts w:asciiTheme="minorHAnsi" w:hAnsiTheme="minorHAnsi" w:cstheme="minorHAnsi"/>
          <w:sz w:val="22"/>
        </w:rPr>
        <w:lastRenderedPageBreak/>
        <w:t xml:space="preserve">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27C49287" w14:textId="032CE9AC" w:rsidR="00153B75" w:rsidRPr="004418B6" w:rsidRDefault="004418B6">
      <w:pPr>
        <w:numPr>
          <w:ilvl w:val="1"/>
          <w:numId w:val="1"/>
        </w:numPr>
        <w:ind w:right="337" w:hanging="852"/>
        <w:rPr>
          <w:rFonts w:asciiTheme="minorHAnsi" w:hAnsiTheme="minorHAnsi" w:cstheme="minorHAnsi"/>
          <w:color w:val="auto"/>
          <w:sz w:val="22"/>
        </w:rPr>
      </w:pPr>
      <w:r w:rsidRPr="004418B6">
        <w:rPr>
          <w:rFonts w:asciiTheme="minorHAnsi" w:hAnsiTheme="minorHAnsi" w:cstheme="minorHAnsi"/>
          <w:color w:val="auto"/>
          <w:sz w:val="22"/>
        </w:rPr>
        <w:t xml:space="preserve">Stosownie do treści art. </w:t>
      </w:r>
      <w:r>
        <w:rPr>
          <w:rFonts w:asciiTheme="minorHAnsi" w:hAnsiTheme="minorHAnsi" w:cstheme="minorHAnsi"/>
          <w:color w:val="auto"/>
          <w:sz w:val="22"/>
        </w:rPr>
        <w:t>95</w:t>
      </w:r>
      <w:r w:rsidRPr="004418B6">
        <w:rPr>
          <w:rFonts w:asciiTheme="minorHAnsi" w:hAnsiTheme="minorHAnsi" w:cstheme="minorHAnsi"/>
          <w:color w:val="auto"/>
          <w:sz w:val="22"/>
        </w:rPr>
        <w:t xml:space="preserve"> ustawy Zamawiający wymaga zatrudnienia na podstawie umowy o pracę przez Wykonawcę lub Podwykonawcę w rozumieniu przepisów art. 22 ust.1 ustawy  z dnia 26 czerwca 1974 r. – Kodeks Pracy (</w:t>
      </w:r>
      <w:proofErr w:type="spellStart"/>
      <w:r w:rsidRPr="004418B6">
        <w:rPr>
          <w:rFonts w:asciiTheme="minorHAnsi" w:hAnsiTheme="minorHAnsi" w:cstheme="minorHAnsi"/>
          <w:color w:val="auto"/>
          <w:sz w:val="22"/>
        </w:rPr>
        <w:t>t.j</w:t>
      </w:r>
      <w:proofErr w:type="spellEnd"/>
      <w:r w:rsidRPr="004418B6">
        <w:rPr>
          <w:rFonts w:asciiTheme="minorHAnsi" w:hAnsiTheme="minorHAnsi" w:cstheme="minorHAnsi"/>
          <w:color w:val="auto"/>
          <w:sz w:val="22"/>
        </w:rPr>
        <w:t>. Dz.U. z 20</w:t>
      </w:r>
      <w:r>
        <w:rPr>
          <w:rFonts w:asciiTheme="minorHAnsi" w:hAnsiTheme="minorHAnsi" w:cstheme="minorHAnsi"/>
          <w:color w:val="auto"/>
          <w:sz w:val="22"/>
        </w:rPr>
        <w:t>20</w:t>
      </w:r>
      <w:r w:rsidRPr="004418B6">
        <w:rPr>
          <w:rFonts w:asciiTheme="minorHAnsi" w:hAnsiTheme="minorHAnsi" w:cstheme="minorHAnsi"/>
          <w:color w:val="auto"/>
          <w:sz w:val="22"/>
        </w:rPr>
        <w:t xml:space="preserve"> r., poz. </w:t>
      </w:r>
      <w:r>
        <w:rPr>
          <w:rFonts w:asciiTheme="minorHAnsi" w:hAnsiTheme="minorHAnsi" w:cstheme="minorHAnsi"/>
          <w:color w:val="auto"/>
          <w:sz w:val="22"/>
        </w:rPr>
        <w:t>1320</w:t>
      </w:r>
      <w:r w:rsidRPr="004418B6">
        <w:rPr>
          <w:rFonts w:asciiTheme="minorHAnsi" w:hAnsiTheme="minorHAnsi" w:cstheme="minorHAnsi"/>
          <w:color w:val="auto"/>
          <w:sz w:val="22"/>
        </w:rPr>
        <w:t xml:space="preserve"> z późń.zm.), osób wykonujących niezbędne czynności dla realizacji niniejszego przedmiotu zamówienia, które wskazano w pkt </w:t>
      </w:r>
      <w:r w:rsidR="004A26D4">
        <w:rPr>
          <w:rFonts w:asciiTheme="minorHAnsi" w:hAnsiTheme="minorHAnsi" w:cstheme="minorHAnsi"/>
          <w:color w:val="auto"/>
          <w:sz w:val="22"/>
        </w:rPr>
        <w:t>6.1., 6.2</w:t>
      </w:r>
      <w:r w:rsidRPr="004418B6">
        <w:rPr>
          <w:rFonts w:asciiTheme="minorHAnsi" w:hAnsiTheme="minorHAnsi" w:cstheme="minorHAnsi"/>
          <w:color w:val="auto"/>
          <w:sz w:val="22"/>
        </w:rPr>
        <w:t xml:space="preserve"> SWZ oraz </w:t>
      </w:r>
      <w:r w:rsidRPr="004418B6">
        <w:rPr>
          <w:rFonts w:asciiTheme="minorHAnsi" w:hAnsiTheme="minorHAnsi" w:cstheme="minorHAnsi"/>
          <w:b/>
          <w:color w:val="auto"/>
          <w:sz w:val="22"/>
        </w:rPr>
        <w:t xml:space="preserve">Załącznikach nr 1 </w:t>
      </w:r>
      <w:r w:rsidR="004A26D4">
        <w:rPr>
          <w:rFonts w:asciiTheme="minorHAnsi" w:hAnsiTheme="minorHAnsi" w:cstheme="minorHAnsi"/>
          <w:b/>
          <w:color w:val="auto"/>
          <w:sz w:val="22"/>
        </w:rPr>
        <w:t>i</w:t>
      </w:r>
      <w:r w:rsidRPr="004418B6">
        <w:rPr>
          <w:rFonts w:asciiTheme="minorHAnsi" w:hAnsiTheme="minorHAnsi" w:cstheme="minorHAnsi"/>
          <w:b/>
          <w:color w:val="auto"/>
          <w:sz w:val="22"/>
        </w:rPr>
        <w:t xml:space="preserve"> nr 2 do SWZ</w:t>
      </w:r>
      <w:r w:rsidRPr="004418B6">
        <w:rPr>
          <w:rFonts w:asciiTheme="minorHAnsi" w:hAnsiTheme="minorHAnsi" w:cstheme="minorHAnsi"/>
          <w:color w:val="auto"/>
          <w:sz w:val="22"/>
        </w:rPr>
        <w:t xml:space="preserve"> tj. osoby wykonujące prace fizyczne związane z robotami budowlanymi - operatorzy maszyn budowlanych, murarze, kierowcy, robotnicy niewykwalifikowani, za wyjątkiem osób pełniących samodzielne funkcje techniczne w budownictwie w rozumieniu ustawy z dnia 7 lipca 1994 r. Prawo budowlane (</w:t>
      </w:r>
      <w:proofErr w:type="spellStart"/>
      <w:r w:rsidRPr="004418B6">
        <w:rPr>
          <w:rFonts w:asciiTheme="minorHAnsi" w:hAnsiTheme="minorHAnsi" w:cstheme="minorHAnsi"/>
          <w:color w:val="auto"/>
          <w:sz w:val="22"/>
        </w:rPr>
        <w:t>t.j</w:t>
      </w:r>
      <w:proofErr w:type="spellEnd"/>
      <w:r w:rsidRPr="004418B6">
        <w:rPr>
          <w:rFonts w:asciiTheme="minorHAnsi" w:hAnsiTheme="minorHAnsi" w:cstheme="minorHAnsi"/>
          <w:color w:val="auto"/>
          <w:sz w:val="22"/>
        </w:rPr>
        <w:t>. Dz. U. z 20</w:t>
      </w:r>
      <w:r>
        <w:rPr>
          <w:rFonts w:asciiTheme="minorHAnsi" w:hAnsiTheme="minorHAnsi" w:cstheme="minorHAnsi"/>
          <w:color w:val="auto"/>
          <w:sz w:val="22"/>
        </w:rPr>
        <w:t>20</w:t>
      </w:r>
      <w:r w:rsidRPr="004418B6">
        <w:rPr>
          <w:rFonts w:asciiTheme="minorHAnsi" w:hAnsiTheme="minorHAnsi" w:cstheme="minorHAnsi"/>
          <w:color w:val="auto"/>
          <w:sz w:val="22"/>
        </w:rPr>
        <w:t xml:space="preserve"> r. poz. </w:t>
      </w:r>
      <w:r>
        <w:rPr>
          <w:rFonts w:asciiTheme="minorHAnsi" w:hAnsiTheme="minorHAnsi" w:cstheme="minorHAnsi"/>
          <w:color w:val="auto"/>
          <w:sz w:val="22"/>
        </w:rPr>
        <w:t>1333</w:t>
      </w:r>
      <w:r w:rsidRPr="004418B6">
        <w:rPr>
          <w:rFonts w:asciiTheme="minorHAnsi" w:hAnsiTheme="minorHAnsi" w:cstheme="minorHAnsi"/>
          <w:color w:val="auto"/>
          <w:sz w:val="22"/>
        </w:rPr>
        <w:t xml:space="preserve"> z późn.zm.) oraz osób prowadzących działalność gospodarczą (samozatrudnienie). Pozostałe wymogi wynikające z art. </w:t>
      </w:r>
      <w:r>
        <w:rPr>
          <w:rFonts w:asciiTheme="minorHAnsi" w:hAnsiTheme="minorHAnsi" w:cstheme="minorHAnsi"/>
          <w:color w:val="auto"/>
          <w:sz w:val="22"/>
        </w:rPr>
        <w:t>95</w:t>
      </w:r>
      <w:r w:rsidRPr="004418B6">
        <w:rPr>
          <w:rFonts w:asciiTheme="minorHAnsi" w:hAnsiTheme="minorHAnsi" w:cstheme="minorHAnsi"/>
          <w:color w:val="auto"/>
          <w:sz w:val="22"/>
        </w:rPr>
        <w:t xml:space="preserve"> ustawy zostały </w:t>
      </w:r>
      <w:r>
        <w:rPr>
          <w:rFonts w:asciiTheme="minorHAnsi" w:hAnsiTheme="minorHAnsi" w:cstheme="minorHAnsi"/>
          <w:color w:val="auto"/>
          <w:sz w:val="22"/>
        </w:rPr>
        <w:t xml:space="preserve">zamieszczone </w:t>
      </w:r>
      <w:r w:rsidRPr="004418B6">
        <w:rPr>
          <w:rFonts w:asciiTheme="minorHAnsi" w:hAnsiTheme="minorHAnsi" w:cstheme="minorHAnsi"/>
          <w:color w:val="auto"/>
          <w:sz w:val="22"/>
        </w:rPr>
        <w:t>w</w:t>
      </w:r>
      <w:r w:rsidRPr="004418B6">
        <w:rPr>
          <w:rFonts w:asciiTheme="minorHAnsi" w:hAnsiTheme="minorHAnsi" w:cstheme="minorHAnsi"/>
          <w:i/>
          <w:color w:val="auto"/>
          <w:sz w:val="22"/>
        </w:rPr>
        <w:t xml:space="preserve">  </w:t>
      </w:r>
      <w:r w:rsidRPr="004418B6">
        <w:rPr>
          <w:rFonts w:asciiTheme="minorHAnsi" w:hAnsiTheme="minorHAnsi" w:cstheme="minorHAnsi"/>
          <w:color w:val="auto"/>
          <w:sz w:val="22"/>
        </w:rPr>
        <w:t xml:space="preserve">projektowanych postanowieniach umowy w sprawie zamówienia publicznego, które stanowią </w:t>
      </w:r>
      <w:r w:rsidRPr="004418B6">
        <w:rPr>
          <w:rFonts w:asciiTheme="minorHAnsi" w:hAnsiTheme="minorHAnsi" w:cstheme="minorHAnsi"/>
          <w:b/>
          <w:color w:val="auto"/>
          <w:sz w:val="22"/>
        </w:rPr>
        <w:t>Załącznik nr 2 do SWZ</w:t>
      </w:r>
      <w:r w:rsidRPr="004418B6">
        <w:rPr>
          <w:rFonts w:asciiTheme="minorHAnsi" w:hAnsiTheme="minorHAnsi" w:cstheme="minorHAnsi"/>
          <w:color w:val="auto"/>
          <w:sz w:val="22"/>
        </w:rPr>
        <w:t>.</w:t>
      </w:r>
      <w:r w:rsidR="001875D6" w:rsidRPr="004418B6">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75F23F03" w14:textId="77777777" w:rsidR="00153B75" w:rsidRPr="00FB0875" w:rsidRDefault="001875D6" w:rsidP="000A31E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lastRenderedPageBreak/>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56D0A50B" w14:textId="7A7F410C" w:rsidR="007F7033" w:rsidRPr="007F7033" w:rsidRDefault="007F7033" w:rsidP="007F7033">
      <w:pPr>
        <w:rPr>
          <w:rFonts w:asciiTheme="minorHAnsi" w:hAnsiTheme="minorHAnsi" w:cstheme="minorHAnsi"/>
          <w:sz w:val="22"/>
        </w:rPr>
      </w:pPr>
    </w:p>
    <w:p w14:paraId="25703CD9" w14:textId="7EEF6211" w:rsidR="007F7033" w:rsidRPr="00DA0DF1" w:rsidRDefault="007F7033">
      <w:pPr>
        <w:numPr>
          <w:ilvl w:val="1"/>
          <w:numId w:val="1"/>
        </w:numPr>
        <w:ind w:right="337" w:hanging="852"/>
        <w:rPr>
          <w:rFonts w:asciiTheme="minorHAnsi" w:hAnsiTheme="minorHAnsi" w:cstheme="minorHAnsi"/>
          <w:sz w:val="22"/>
        </w:rPr>
      </w:pPr>
      <w:r w:rsidRPr="00DA0DF1">
        <w:rPr>
          <w:rFonts w:asciiTheme="minorHAnsi" w:hAnsiTheme="minorHAnsi" w:cstheme="minorHAnsi"/>
          <w:sz w:val="22"/>
        </w:rPr>
        <w:t>Zamawiający umożliwi Wykonawcom dokonanie wizytacji terenu przyszłej budowy, po uprzednim telefonicznym uzgodnieniu terminu wizytacji z osobą wskazaną do kontaktów z Wykonawcami w pkt 14.3.a SWZ</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75AB7A8C"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robót budowlanych zamówień, o których mowa w art. 214 ust. 1 pkt 7 ustawy, polegających na powtórzeniu podobnych robót budowlanych, zgodnych z przedmiotem zamówienia podstawowego.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3A40F885" w:rsidR="00153B75" w:rsidRPr="001A468B" w:rsidRDefault="00A24D7E">
      <w:pPr>
        <w:ind w:left="718" w:right="337"/>
      </w:pPr>
      <w:r w:rsidRPr="00A24D7E">
        <w:rPr>
          <w:rFonts w:asciiTheme="minorHAnsi" w:hAnsiTheme="minorHAnsi" w:cstheme="minorHAnsi"/>
          <w:sz w:val="22"/>
        </w:rPr>
        <w:t xml:space="preserve">Wykonawca jest zobowiązany wykonać zamówienie w </w:t>
      </w:r>
      <w:r w:rsidRPr="001D45CE">
        <w:rPr>
          <w:rFonts w:asciiTheme="minorHAnsi" w:hAnsiTheme="minorHAnsi" w:cstheme="minorHAnsi"/>
          <w:color w:val="auto"/>
          <w:sz w:val="22"/>
        </w:rPr>
        <w:t xml:space="preserve">terminie </w:t>
      </w:r>
      <w:r w:rsidR="00510580">
        <w:rPr>
          <w:rFonts w:asciiTheme="minorHAnsi" w:hAnsiTheme="minorHAnsi" w:cstheme="minorHAnsi"/>
          <w:color w:val="auto"/>
          <w:sz w:val="22"/>
        </w:rPr>
        <w:t xml:space="preserve">do </w:t>
      </w:r>
      <w:r w:rsidR="00DA0DF1">
        <w:rPr>
          <w:rFonts w:asciiTheme="minorHAnsi" w:hAnsiTheme="minorHAnsi" w:cstheme="minorHAnsi"/>
          <w:b/>
          <w:bCs/>
          <w:color w:val="auto"/>
          <w:sz w:val="22"/>
        </w:rPr>
        <w:t>31.08.202</w:t>
      </w:r>
      <w:r w:rsidR="008D61AA">
        <w:rPr>
          <w:rFonts w:asciiTheme="minorHAnsi" w:hAnsiTheme="minorHAnsi" w:cstheme="minorHAnsi"/>
          <w:b/>
          <w:bCs/>
          <w:color w:val="auto"/>
          <w:sz w:val="22"/>
        </w:rPr>
        <w:t>2</w:t>
      </w:r>
      <w:r w:rsidR="00DA0DF1">
        <w:rPr>
          <w:rFonts w:asciiTheme="minorHAnsi" w:hAnsiTheme="minorHAnsi" w:cstheme="minorHAnsi"/>
          <w:b/>
          <w:bCs/>
          <w:color w:val="auto"/>
          <w:sz w:val="22"/>
        </w:rPr>
        <w:t xml:space="preserve"> r.</w:t>
      </w:r>
      <w:r w:rsidR="001A468B">
        <w:rPr>
          <w:rFonts w:asciiTheme="minorHAnsi" w:hAnsiTheme="minorHAnsi" w:cstheme="minorHAnsi"/>
          <w:b/>
          <w:bCs/>
          <w:color w:val="auto"/>
          <w:sz w:val="22"/>
        </w:rPr>
        <w:t xml:space="preserve"> </w:t>
      </w:r>
      <w:r w:rsidR="001A468B" w:rsidRPr="001A468B">
        <w:rPr>
          <w:rFonts w:asciiTheme="minorHAnsi" w:hAnsiTheme="minorHAnsi" w:cstheme="minorHAnsi"/>
          <w:color w:val="auto"/>
          <w:sz w:val="22"/>
        </w:rPr>
        <w:t xml:space="preserve">z tym, że stan zerowy i surowy budynku Centrum opiekuńczo – mieszkalnego w Perlejewie </w:t>
      </w:r>
      <w:r w:rsidR="00F25949">
        <w:rPr>
          <w:rFonts w:asciiTheme="minorHAnsi" w:hAnsiTheme="minorHAnsi" w:cstheme="minorHAnsi"/>
          <w:color w:val="auto"/>
          <w:sz w:val="22"/>
        </w:rPr>
        <w:t xml:space="preserve">wykonawca </w:t>
      </w:r>
      <w:r w:rsidR="001A468B">
        <w:rPr>
          <w:rFonts w:asciiTheme="minorHAnsi" w:hAnsiTheme="minorHAnsi" w:cstheme="minorHAnsi"/>
          <w:color w:val="auto"/>
          <w:sz w:val="22"/>
        </w:rPr>
        <w:t xml:space="preserve">zobowiązany jest wykonać </w:t>
      </w:r>
      <w:r w:rsidR="001A468B" w:rsidRPr="001A468B">
        <w:rPr>
          <w:rFonts w:asciiTheme="minorHAnsi" w:hAnsiTheme="minorHAnsi" w:cstheme="minorHAnsi"/>
          <w:color w:val="auto"/>
          <w:sz w:val="22"/>
        </w:rPr>
        <w:t xml:space="preserve">do dnia </w:t>
      </w:r>
      <w:r w:rsidR="001A468B" w:rsidRPr="001A468B">
        <w:rPr>
          <w:rFonts w:asciiTheme="minorHAnsi" w:hAnsiTheme="minorHAnsi" w:cstheme="minorHAnsi"/>
          <w:b/>
          <w:bCs/>
          <w:color w:val="auto"/>
          <w:sz w:val="22"/>
        </w:rPr>
        <w:t>31.03.2022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6771F11" w:rsidR="00153B75" w:rsidRPr="00B1411C" w:rsidRDefault="001875D6" w:rsidP="000A31E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 xml:space="preserve">awodowej, o ile wynika to z odrębnych przepisów: </w:t>
      </w:r>
      <w:r w:rsidRPr="00B1411C">
        <w:rPr>
          <w:rFonts w:asciiTheme="minorHAnsi" w:hAnsiTheme="minorHAnsi" w:cstheme="minorHAnsi"/>
          <w:i/>
          <w:sz w:val="22"/>
        </w:rPr>
        <w:t>„Nie dotyczy”</w:t>
      </w:r>
      <w:r w:rsidRPr="00B1411C">
        <w:rPr>
          <w:rFonts w:asciiTheme="minorHAnsi" w:hAnsiTheme="minorHAnsi" w:cstheme="minorHAnsi"/>
          <w:i/>
          <w:color w:val="2F5496"/>
          <w:sz w:val="22"/>
        </w:rPr>
        <w:t xml:space="preserve"> </w:t>
      </w:r>
    </w:p>
    <w:p w14:paraId="6DC0B03A" w14:textId="405493BB"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Pr="00B1411C">
        <w:rPr>
          <w:rFonts w:asciiTheme="minorHAnsi" w:hAnsiTheme="minorHAnsi" w:cstheme="minorHAnsi"/>
          <w:i/>
          <w:color w:val="2F5496"/>
          <w:sz w:val="22"/>
        </w:rPr>
        <w:t xml:space="preserve"> </w:t>
      </w:r>
    </w:p>
    <w:p w14:paraId="534F3521" w14:textId="7CCD780A" w:rsidR="00B1411C" w:rsidRPr="00B1411C" w:rsidRDefault="00B1411C" w:rsidP="000A31E0">
      <w:pPr>
        <w:pStyle w:val="Akapitzlist"/>
        <w:numPr>
          <w:ilvl w:val="0"/>
          <w:numId w:val="17"/>
        </w:numPr>
        <w:spacing w:after="14" w:line="267" w:lineRule="auto"/>
        <w:ind w:right="335"/>
        <w:rPr>
          <w:rFonts w:asciiTheme="minorHAnsi" w:hAnsiTheme="minorHAnsi" w:cstheme="minorHAnsi"/>
          <w:sz w:val="22"/>
        </w:rPr>
      </w:pPr>
      <w:r w:rsidRPr="00B1411C">
        <w:rPr>
          <w:rFonts w:asciiTheme="minorHAnsi" w:hAnsiTheme="minorHAnsi" w:cstheme="minorHAnsi"/>
          <w:sz w:val="22"/>
        </w:rPr>
        <w:t xml:space="preserve">posiada środki finansowe lub zdolność kredytową na kwotę, co najmniej </w:t>
      </w:r>
      <w:r w:rsidR="00DF0DB5" w:rsidRPr="00DF0DB5">
        <w:rPr>
          <w:rFonts w:asciiTheme="minorHAnsi" w:hAnsiTheme="minorHAnsi" w:cstheme="minorHAnsi"/>
          <w:b/>
          <w:bCs/>
          <w:sz w:val="22"/>
        </w:rPr>
        <w:t>1.</w:t>
      </w:r>
      <w:r w:rsidR="00412ED8" w:rsidRPr="00DF0DB5">
        <w:rPr>
          <w:rFonts w:asciiTheme="minorHAnsi" w:hAnsiTheme="minorHAnsi" w:cstheme="minorHAnsi"/>
          <w:b/>
          <w:bCs/>
          <w:sz w:val="22"/>
        </w:rPr>
        <w:t>500.000</w:t>
      </w:r>
      <w:r w:rsidRPr="00DF0DB5">
        <w:rPr>
          <w:rFonts w:asciiTheme="minorHAnsi" w:hAnsiTheme="minorHAnsi" w:cstheme="minorHAnsi"/>
          <w:b/>
          <w:bCs/>
          <w:sz w:val="22"/>
        </w:rPr>
        <w:t>,- zł</w:t>
      </w:r>
      <w:r w:rsidRPr="00B1411C">
        <w:rPr>
          <w:rFonts w:asciiTheme="minorHAnsi" w:hAnsiTheme="minorHAnsi" w:cstheme="minorHAnsi"/>
          <w:sz w:val="22"/>
        </w:rPr>
        <w:t>.</w:t>
      </w:r>
    </w:p>
    <w:p w14:paraId="14358D32" w14:textId="77777777" w:rsidR="00153B75" w:rsidRPr="00B1411C" w:rsidRDefault="001875D6" w:rsidP="000A31E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553728F6" w14:textId="1D589229" w:rsidR="00BD65C6" w:rsidRPr="00BD65C6" w:rsidRDefault="00BD65C6" w:rsidP="00BD65C6">
      <w:pPr>
        <w:spacing w:after="128"/>
        <w:ind w:left="1277" w:right="337" w:hanging="283"/>
        <w:rPr>
          <w:rFonts w:asciiTheme="minorHAnsi" w:hAnsiTheme="minorHAnsi" w:cstheme="minorHAnsi"/>
          <w:sz w:val="22"/>
        </w:rPr>
      </w:pPr>
      <w:r w:rsidRPr="00BD65C6">
        <w:rPr>
          <w:rFonts w:asciiTheme="minorHAnsi" w:hAnsiTheme="minorHAnsi" w:cstheme="minorHAnsi"/>
          <w:bCs/>
          <w:sz w:val="22"/>
        </w:rPr>
        <w:t>a)</w:t>
      </w:r>
      <w:r>
        <w:rPr>
          <w:b/>
        </w:rPr>
        <w:t xml:space="preserve"> </w:t>
      </w:r>
      <w:r w:rsidRPr="00BD65C6">
        <w:rPr>
          <w:rFonts w:asciiTheme="minorHAnsi" w:hAnsiTheme="minorHAnsi" w:cstheme="minorHAnsi"/>
          <w:sz w:val="22"/>
        </w:rPr>
        <w:t>dysponuje lub będzie dysponował 1 osobą posiadającą uprawnienia do sprawowania samodzielnych funkcji technicznych w budownictwie do kierowania robotami budowlanymi, zgodnie z ustawą z dnia 7 lipca 1994 r. Prawo budowlane (</w:t>
      </w:r>
      <w:bookmarkStart w:id="0" w:name="_Hlk66187641"/>
      <w:proofErr w:type="spellStart"/>
      <w:r w:rsidRPr="00BD65C6">
        <w:rPr>
          <w:rFonts w:asciiTheme="minorHAnsi" w:hAnsiTheme="minorHAnsi" w:cstheme="minorHAnsi"/>
          <w:sz w:val="22"/>
        </w:rPr>
        <w:t>t.j</w:t>
      </w:r>
      <w:proofErr w:type="spellEnd"/>
      <w:r w:rsidRPr="00BD65C6">
        <w:rPr>
          <w:rFonts w:asciiTheme="minorHAnsi" w:hAnsiTheme="minorHAnsi" w:cstheme="minorHAnsi"/>
          <w:sz w:val="22"/>
        </w:rPr>
        <w:t>. Dz.U. z 20</w:t>
      </w:r>
      <w:r>
        <w:rPr>
          <w:rFonts w:asciiTheme="minorHAnsi" w:hAnsiTheme="minorHAnsi" w:cstheme="minorHAnsi"/>
          <w:sz w:val="22"/>
        </w:rPr>
        <w:t>20</w:t>
      </w:r>
      <w:r w:rsidRPr="00BD65C6">
        <w:rPr>
          <w:rFonts w:asciiTheme="minorHAnsi" w:hAnsiTheme="minorHAnsi" w:cstheme="minorHAnsi"/>
          <w:sz w:val="22"/>
        </w:rPr>
        <w:t xml:space="preserve"> r. poz. </w:t>
      </w:r>
      <w:r>
        <w:rPr>
          <w:rFonts w:asciiTheme="minorHAnsi" w:hAnsiTheme="minorHAnsi" w:cstheme="minorHAnsi"/>
          <w:sz w:val="22"/>
        </w:rPr>
        <w:t>1333 ze zm.</w:t>
      </w:r>
      <w:bookmarkEnd w:id="0"/>
      <w:r w:rsidRPr="00BD65C6">
        <w:rPr>
          <w:rFonts w:asciiTheme="minorHAnsi" w:hAnsiTheme="minorHAnsi" w:cstheme="minorHAnsi"/>
          <w:sz w:val="22"/>
        </w:rPr>
        <w:t xml:space="preserve">), w specjalności </w:t>
      </w:r>
      <w:proofErr w:type="spellStart"/>
      <w:r w:rsidRPr="00BD65C6">
        <w:rPr>
          <w:rFonts w:asciiTheme="minorHAnsi" w:hAnsiTheme="minorHAnsi" w:cstheme="minorHAnsi"/>
          <w:sz w:val="22"/>
        </w:rPr>
        <w:t>konstrukcyjno</w:t>
      </w:r>
      <w:proofErr w:type="spellEnd"/>
      <w:r w:rsidRPr="00BD65C6">
        <w:rPr>
          <w:rFonts w:asciiTheme="minorHAnsi" w:hAnsiTheme="minorHAnsi" w:cstheme="minorHAnsi"/>
          <w:sz w:val="22"/>
        </w:rPr>
        <w:t xml:space="preserve"> – budowlanej bez ograniczeń, lub odpowiadające</w:t>
      </w:r>
      <w:r w:rsidR="00B32DDA">
        <w:rPr>
          <w:rFonts w:asciiTheme="minorHAnsi" w:hAnsiTheme="minorHAnsi" w:cstheme="minorHAnsi"/>
          <w:sz w:val="22"/>
        </w:rPr>
        <w:t xml:space="preserve"> im ważne uprawnienia budowlane</w:t>
      </w:r>
      <w:r w:rsidR="00B32DDA" w:rsidRPr="00B32DDA">
        <w:rPr>
          <w:rFonts w:asciiTheme="minorHAnsi" w:hAnsiTheme="minorHAnsi" w:cstheme="minorHAnsi"/>
          <w:sz w:val="22"/>
        </w:rPr>
        <w:t>,</w:t>
      </w:r>
    </w:p>
    <w:p w14:paraId="402B4C8B" w14:textId="69EBF2C7" w:rsidR="00BD65C6" w:rsidRPr="00BD65C6" w:rsidRDefault="00BD65C6" w:rsidP="00BD65C6">
      <w:pPr>
        <w:spacing w:after="128"/>
        <w:ind w:left="1277" w:right="337" w:hanging="283"/>
        <w:rPr>
          <w:rFonts w:asciiTheme="minorHAnsi" w:hAnsiTheme="minorHAnsi" w:cstheme="minorHAnsi"/>
          <w:bCs/>
          <w:sz w:val="22"/>
        </w:rPr>
      </w:pPr>
      <w:r w:rsidRPr="00BD65C6">
        <w:rPr>
          <w:rFonts w:asciiTheme="minorHAnsi" w:hAnsiTheme="minorHAnsi" w:cstheme="minorHAnsi"/>
          <w:bCs/>
          <w:sz w:val="22"/>
        </w:rPr>
        <w:t>b) dysponuje lub będzie dysponował 1 osobą posiadającą uprawnienia do sprawowania samodzielnych funkcji technicznych w budownictwie do kierowania robotami budowlanymi, zgodnie z ustawą z dnia 7 lipca 1994 r. Prawo budowlane (</w:t>
      </w:r>
      <w:proofErr w:type="spellStart"/>
      <w:r w:rsidR="00607FE2" w:rsidRPr="00607FE2">
        <w:rPr>
          <w:rFonts w:asciiTheme="minorHAnsi" w:hAnsiTheme="minorHAnsi" w:cstheme="minorHAnsi"/>
          <w:bCs/>
          <w:sz w:val="22"/>
        </w:rPr>
        <w:t>t.j</w:t>
      </w:r>
      <w:proofErr w:type="spellEnd"/>
      <w:r w:rsidR="00607FE2" w:rsidRPr="00607FE2">
        <w:rPr>
          <w:rFonts w:asciiTheme="minorHAnsi" w:hAnsiTheme="minorHAnsi" w:cstheme="minorHAnsi"/>
          <w:bCs/>
          <w:sz w:val="22"/>
        </w:rPr>
        <w:t>. Dz.U. z 2020 r. poz. 1333 ze zm.</w:t>
      </w:r>
      <w:r w:rsidRPr="00BD65C6">
        <w:rPr>
          <w:rFonts w:asciiTheme="minorHAnsi" w:hAnsiTheme="minorHAnsi" w:cstheme="minorHAnsi"/>
          <w:bCs/>
          <w:sz w:val="22"/>
        </w:rPr>
        <w:t>), w specjalności instalacyjnej w zakresie sieci, instalacji, gazowych, wodociągowych i kanalizacyjnych bez ograniczeń, lub odpowiadające</w:t>
      </w:r>
      <w:r w:rsidR="00B32DDA">
        <w:rPr>
          <w:rFonts w:asciiTheme="minorHAnsi" w:hAnsiTheme="minorHAnsi" w:cstheme="minorHAnsi"/>
          <w:bCs/>
          <w:sz w:val="22"/>
        </w:rPr>
        <w:t xml:space="preserve"> im ważne uprawnienia budowlane</w:t>
      </w:r>
      <w:r w:rsidR="00B32DDA" w:rsidRPr="00B32DDA">
        <w:rPr>
          <w:rFonts w:asciiTheme="minorHAnsi" w:hAnsiTheme="minorHAnsi" w:cstheme="minorHAnsi"/>
          <w:bCs/>
          <w:sz w:val="22"/>
        </w:rPr>
        <w:t>,</w:t>
      </w:r>
    </w:p>
    <w:p w14:paraId="58244EE8" w14:textId="1BCDABDD" w:rsidR="00BD65C6" w:rsidRPr="00BD65C6" w:rsidRDefault="00BD65C6" w:rsidP="00BD65C6">
      <w:pPr>
        <w:spacing w:after="128"/>
        <w:ind w:left="1277" w:right="337" w:hanging="283"/>
        <w:rPr>
          <w:rFonts w:asciiTheme="minorHAnsi" w:hAnsiTheme="minorHAnsi" w:cstheme="minorHAnsi"/>
          <w:bCs/>
          <w:sz w:val="22"/>
        </w:rPr>
      </w:pPr>
      <w:r w:rsidRPr="00BD65C6">
        <w:rPr>
          <w:rFonts w:asciiTheme="minorHAnsi" w:hAnsiTheme="minorHAnsi" w:cstheme="minorHAnsi"/>
          <w:bCs/>
          <w:sz w:val="22"/>
        </w:rPr>
        <w:t xml:space="preserve">c) dysponuje lub będzie dysponował 1 osobą posiadającą uprawnienia do sprawowania samodzielnych funkcji technicznych w budownictwie do kierowania robotami budowlanymi, zgodnie z ustawą z dnia 7 lipca 1994 r. Prawo budowlane </w:t>
      </w:r>
      <w:proofErr w:type="spellStart"/>
      <w:r w:rsidR="00607FE2" w:rsidRPr="00607FE2">
        <w:rPr>
          <w:rFonts w:asciiTheme="minorHAnsi" w:hAnsiTheme="minorHAnsi" w:cstheme="minorHAnsi"/>
          <w:bCs/>
          <w:sz w:val="22"/>
        </w:rPr>
        <w:t>t.j</w:t>
      </w:r>
      <w:proofErr w:type="spellEnd"/>
      <w:r w:rsidR="00607FE2" w:rsidRPr="00607FE2">
        <w:rPr>
          <w:rFonts w:asciiTheme="minorHAnsi" w:hAnsiTheme="minorHAnsi" w:cstheme="minorHAnsi"/>
          <w:bCs/>
          <w:sz w:val="22"/>
        </w:rPr>
        <w:t>. Dz.U. z 2020 r. poz. 1333 ze zm.</w:t>
      </w:r>
      <w:r w:rsidRPr="00BD65C6">
        <w:rPr>
          <w:rFonts w:asciiTheme="minorHAnsi" w:hAnsiTheme="minorHAnsi" w:cstheme="minorHAnsi"/>
          <w:bCs/>
          <w:sz w:val="22"/>
        </w:rPr>
        <w:t xml:space="preserve">), w specjalności instalacyjnej w zakresie sieci, instalacji i urządzeń </w:t>
      </w:r>
      <w:r w:rsidRPr="00BD65C6">
        <w:rPr>
          <w:rFonts w:asciiTheme="minorHAnsi" w:hAnsiTheme="minorHAnsi" w:cstheme="minorHAnsi"/>
          <w:bCs/>
          <w:sz w:val="22"/>
        </w:rPr>
        <w:lastRenderedPageBreak/>
        <w:t>elektrycznych i elektroenergetycznych bez ograniczeń, lub odpowiadające</w:t>
      </w:r>
      <w:r w:rsidR="00B32DDA">
        <w:rPr>
          <w:rFonts w:asciiTheme="minorHAnsi" w:hAnsiTheme="minorHAnsi" w:cstheme="minorHAnsi"/>
          <w:bCs/>
          <w:sz w:val="22"/>
        </w:rPr>
        <w:t xml:space="preserve"> im ważne uprawnienia budowlane</w:t>
      </w:r>
      <w:r w:rsidR="00B32DDA" w:rsidRPr="00B32DDA">
        <w:rPr>
          <w:rFonts w:asciiTheme="minorHAnsi" w:hAnsiTheme="minorHAnsi" w:cstheme="minorHAnsi"/>
          <w:bCs/>
          <w:sz w:val="22"/>
        </w:rPr>
        <w:t>,</w:t>
      </w:r>
    </w:p>
    <w:p w14:paraId="4025A3BA" w14:textId="0738CA49" w:rsidR="00BD65C6" w:rsidRPr="00D43D4C" w:rsidRDefault="00BD65C6" w:rsidP="00DF0DB5">
      <w:pPr>
        <w:spacing w:after="128"/>
        <w:ind w:left="1134" w:right="337" w:hanging="141"/>
        <w:rPr>
          <w:rFonts w:asciiTheme="minorHAnsi" w:hAnsiTheme="minorHAnsi" w:cstheme="minorHAnsi"/>
          <w:bCs/>
          <w:sz w:val="22"/>
        </w:rPr>
      </w:pPr>
      <w:r w:rsidRPr="00D43D4C">
        <w:rPr>
          <w:rFonts w:asciiTheme="minorHAnsi" w:hAnsiTheme="minorHAnsi" w:cstheme="minorHAnsi"/>
          <w:bCs/>
          <w:sz w:val="22"/>
        </w:rPr>
        <w:t xml:space="preserve">e) </w:t>
      </w:r>
      <w:r w:rsidR="00412ED8" w:rsidRPr="00412ED8">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w:t>
      </w:r>
      <w:r w:rsidR="00DF0DB5">
        <w:rPr>
          <w:rFonts w:asciiTheme="minorHAnsi" w:hAnsiTheme="minorHAnsi" w:cstheme="minorHAnsi"/>
          <w:bCs/>
          <w:sz w:val="22"/>
        </w:rPr>
        <w:t>dwa</w:t>
      </w:r>
      <w:r w:rsidR="00412ED8" w:rsidRPr="00412ED8">
        <w:rPr>
          <w:rFonts w:asciiTheme="minorHAnsi" w:hAnsiTheme="minorHAnsi" w:cstheme="minorHAnsi"/>
          <w:bCs/>
          <w:sz w:val="22"/>
        </w:rPr>
        <w:t xml:space="preserve"> zamówieni</w:t>
      </w:r>
      <w:r w:rsidR="00DF0DB5">
        <w:rPr>
          <w:rFonts w:asciiTheme="minorHAnsi" w:hAnsiTheme="minorHAnsi" w:cstheme="minorHAnsi"/>
          <w:bCs/>
          <w:sz w:val="22"/>
        </w:rPr>
        <w:t>a</w:t>
      </w:r>
      <w:r w:rsidR="00412ED8" w:rsidRPr="00412ED8">
        <w:rPr>
          <w:rFonts w:asciiTheme="minorHAnsi" w:hAnsiTheme="minorHAnsi" w:cstheme="minorHAnsi"/>
          <w:bCs/>
          <w:sz w:val="22"/>
        </w:rPr>
        <w:t xml:space="preserve"> polegające na budowie, rozbudowie lub remoncie obiektu budowlanego kubaturowego, które obejmowało swym zakresem roboty ogólnobudowlane oraz roboty instalacyjne sanitarne</w:t>
      </w:r>
      <w:r w:rsidR="00412ED8">
        <w:rPr>
          <w:rFonts w:asciiTheme="minorHAnsi" w:hAnsiTheme="minorHAnsi" w:cstheme="minorHAnsi"/>
          <w:bCs/>
          <w:sz w:val="22"/>
        </w:rPr>
        <w:t xml:space="preserve"> i</w:t>
      </w:r>
      <w:r w:rsidR="00412ED8" w:rsidRPr="00412ED8">
        <w:rPr>
          <w:rFonts w:asciiTheme="minorHAnsi" w:hAnsiTheme="minorHAnsi" w:cstheme="minorHAnsi"/>
          <w:bCs/>
          <w:sz w:val="22"/>
        </w:rPr>
        <w:t xml:space="preserve"> elektryczne, a łączna wartość tych robót była nie mniejsza niż </w:t>
      </w:r>
      <w:r w:rsidR="00DF0DB5" w:rsidRPr="00DF0DB5">
        <w:rPr>
          <w:rFonts w:asciiTheme="minorHAnsi" w:hAnsiTheme="minorHAnsi" w:cstheme="minorHAnsi"/>
          <w:b/>
          <w:sz w:val="22"/>
        </w:rPr>
        <w:t>2.</w:t>
      </w:r>
      <w:r w:rsidR="00412ED8" w:rsidRPr="00DF0DB5">
        <w:rPr>
          <w:rFonts w:asciiTheme="minorHAnsi" w:hAnsiTheme="minorHAnsi" w:cstheme="minorHAnsi"/>
          <w:b/>
          <w:sz w:val="22"/>
        </w:rPr>
        <w:t>500</w:t>
      </w:r>
      <w:r w:rsidR="00412ED8" w:rsidRPr="00412ED8">
        <w:rPr>
          <w:rFonts w:asciiTheme="minorHAnsi" w:hAnsiTheme="minorHAnsi" w:cstheme="minorHAnsi"/>
          <w:b/>
          <w:bCs/>
          <w:sz w:val="22"/>
        </w:rPr>
        <w:t>.000,-</w:t>
      </w:r>
      <w:r w:rsidR="00412ED8" w:rsidRPr="00412ED8">
        <w:rPr>
          <w:rFonts w:asciiTheme="minorHAnsi" w:hAnsiTheme="minorHAnsi" w:cstheme="minorHAnsi"/>
          <w:bCs/>
          <w:sz w:val="22"/>
        </w:rPr>
        <w:t xml:space="preserve"> zł brutto</w:t>
      </w:r>
      <w:r w:rsidR="00DF0DB5">
        <w:rPr>
          <w:rFonts w:asciiTheme="minorHAnsi" w:hAnsiTheme="minorHAnsi" w:cstheme="minorHAnsi"/>
          <w:bCs/>
          <w:sz w:val="22"/>
        </w:rPr>
        <w:t xml:space="preserve"> dla każdego zamówienia</w:t>
      </w:r>
      <w:r w:rsidR="00412ED8" w:rsidRPr="00412ED8">
        <w:rPr>
          <w:rFonts w:asciiTheme="minorHAnsi" w:hAnsiTheme="minorHAnsi" w:cstheme="minorHAnsi"/>
          <w:bCs/>
          <w:sz w:val="22"/>
        </w:rPr>
        <w:t>.</w:t>
      </w:r>
    </w:p>
    <w:p w14:paraId="7F06FBA5" w14:textId="0E17E5BA" w:rsidR="00BD65C6" w:rsidRPr="002B6175" w:rsidRDefault="00BD65C6" w:rsidP="00BD65C6">
      <w:pPr>
        <w:spacing w:after="128"/>
        <w:ind w:left="1277" w:right="337" w:hanging="283"/>
        <w:rPr>
          <w:rFonts w:asciiTheme="minorHAnsi" w:hAnsiTheme="minorHAnsi" w:cstheme="minorHAnsi"/>
          <w:bCs/>
          <w:sz w:val="22"/>
        </w:rPr>
      </w:pPr>
      <w:r w:rsidRPr="00BD65C6">
        <w:rPr>
          <w:b/>
        </w:rPr>
        <w:t xml:space="preserve">- </w:t>
      </w:r>
      <w:r w:rsidR="002B6175">
        <w:rPr>
          <w:b/>
        </w:rPr>
        <w:t xml:space="preserve"> </w:t>
      </w:r>
      <w:r w:rsidRPr="002B6175">
        <w:rPr>
          <w:rFonts w:asciiTheme="minorHAnsi" w:hAnsiTheme="minorHAnsi" w:cstheme="minorHAnsi"/>
          <w:bCs/>
          <w:sz w:val="22"/>
        </w:rPr>
        <w:t>w przypadku warunku dysponowania osobami Zamawiający dopuszcza łączenie funkcji wymienionych w lit. a-</w:t>
      </w:r>
      <w:r w:rsidR="002B6175" w:rsidRPr="002B6175">
        <w:rPr>
          <w:rFonts w:asciiTheme="minorHAnsi" w:hAnsiTheme="minorHAnsi" w:cstheme="minorHAnsi"/>
          <w:bCs/>
          <w:sz w:val="22"/>
        </w:rPr>
        <w:t>c</w:t>
      </w:r>
      <w:r w:rsidRPr="002B6175">
        <w:rPr>
          <w:rFonts w:asciiTheme="minorHAnsi" w:hAnsiTheme="minorHAnsi" w:cstheme="minorHAnsi"/>
          <w:bCs/>
          <w:sz w:val="22"/>
        </w:rPr>
        <w:t xml:space="preserve"> oraz dopuszcza możliwość wykazania spełnienia stawianych warunków przez jedną osobę;</w:t>
      </w:r>
    </w:p>
    <w:p w14:paraId="74E18045" w14:textId="6459CADA" w:rsidR="00B1411C" w:rsidRDefault="00BD65C6">
      <w:pPr>
        <w:spacing w:after="128"/>
        <w:ind w:left="1277" w:right="337" w:hanging="283"/>
        <w:rPr>
          <w:b/>
        </w:rPr>
      </w:pPr>
      <w:r w:rsidRPr="00BD65C6">
        <w:rPr>
          <w:b/>
        </w:rPr>
        <w:t xml:space="preserve">- </w:t>
      </w:r>
      <w:r w:rsidRPr="002B6175">
        <w:rPr>
          <w:rFonts w:asciiTheme="minorHAnsi" w:hAnsiTheme="minorHAnsi" w:cstheme="minorHAnsi"/>
          <w:bCs/>
          <w:sz w:val="22"/>
        </w:rPr>
        <w:t>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2B6175">
        <w:rPr>
          <w:rFonts w:asciiTheme="minorHAnsi" w:hAnsiTheme="minorHAnsi" w:cstheme="minorHAnsi"/>
          <w:bCs/>
          <w:sz w:val="22"/>
        </w:rPr>
        <w:t>t.j</w:t>
      </w:r>
      <w:proofErr w:type="spellEnd"/>
      <w:r w:rsidRPr="002B6175">
        <w:rPr>
          <w:rFonts w:asciiTheme="minorHAnsi" w:hAnsiTheme="minorHAnsi" w:cstheme="minorHAnsi"/>
          <w:bCs/>
          <w:sz w:val="22"/>
        </w:rPr>
        <w:t>. Dz. U. z 2020 r., poz. 220 ze zm.).</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37F354CB"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0297228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4D8430F7" w14:textId="31C4ACBC" w:rsidR="00153B75" w:rsidRPr="00D76BFC" w:rsidRDefault="001875D6" w:rsidP="000A31E0">
      <w:pPr>
        <w:pStyle w:val="Akapitzlist"/>
        <w:numPr>
          <w:ilvl w:val="0"/>
          <w:numId w:val="18"/>
        </w:numPr>
        <w:ind w:left="993" w:right="337"/>
        <w:rPr>
          <w:rFonts w:asciiTheme="minorHAnsi" w:hAnsiTheme="minorHAnsi" w:cstheme="minorHAnsi"/>
          <w:sz w:val="22"/>
        </w:rPr>
      </w:pPr>
      <w:r w:rsidRPr="00D76BFC">
        <w:rPr>
          <w:rFonts w:asciiTheme="minorHAnsi" w:hAnsiTheme="minorHAnsi" w:cstheme="minorHAnsi"/>
          <w:sz w:val="22"/>
        </w:rPr>
        <w:t xml:space="preserve"> oświadczenie o aktualności informacji zawartych w oświadczeniu, o którym mowa w art. 125 ust. 1 ustawy</w:t>
      </w:r>
      <w:r w:rsidR="009E2E70" w:rsidRPr="00D76BFC">
        <w:rPr>
          <w:rFonts w:asciiTheme="minorHAnsi" w:hAnsiTheme="minorHAnsi" w:cstheme="minorHAnsi"/>
          <w:sz w:val="22"/>
        </w:rPr>
        <w:t xml:space="preserve"> (</w:t>
      </w:r>
      <w:r w:rsidR="009E2E70" w:rsidRPr="00D76BFC">
        <w:rPr>
          <w:rFonts w:asciiTheme="minorHAnsi" w:hAnsiTheme="minorHAnsi" w:cstheme="minorHAnsi"/>
          <w:b/>
          <w:bCs/>
          <w:sz w:val="22"/>
        </w:rPr>
        <w:t>Wzór – Załącznik nr 5 do SWZ</w:t>
      </w:r>
      <w:r w:rsidR="009E2E70" w:rsidRPr="00D76BFC">
        <w:rPr>
          <w:rFonts w:asciiTheme="minorHAnsi" w:hAnsiTheme="minorHAnsi" w:cstheme="minorHAnsi"/>
          <w:sz w:val="22"/>
        </w:rPr>
        <w:t>)</w:t>
      </w:r>
      <w:r w:rsidRPr="00D76BFC">
        <w:rPr>
          <w:rFonts w:asciiTheme="minorHAnsi" w:hAnsiTheme="minorHAnsi" w:cstheme="minorHAnsi"/>
          <w:sz w:val="22"/>
        </w:rPr>
        <w:t>.</w:t>
      </w:r>
    </w:p>
    <w:p w14:paraId="754C6F10" w14:textId="1043A99E" w:rsidR="009E2E70" w:rsidRDefault="009E2E70">
      <w:pPr>
        <w:numPr>
          <w:ilvl w:val="1"/>
          <w:numId w:val="1"/>
        </w:numPr>
        <w:ind w:right="337" w:hanging="852"/>
        <w:rPr>
          <w:rFonts w:asciiTheme="minorHAnsi" w:hAnsiTheme="minorHAnsi" w:cstheme="minorHAnsi"/>
          <w:sz w:val="22"/>
        </w:rPr>
      </w:pPr>
      <w:r w:rsidRPr="009E2E70">
        <w:rPr>
          <w:rFonts w:asciiTheme="minorHAnsi" w:hAnsiTheme="minorHAnsi" w:cstheme="minorHAnsi"/>
          <w:sz w:val="22"/>
        </w:rPr>
        <w:lastRenderedPageBreak/>
        <w:t>W celu potwierdzenia spełniania przez Wykonawcę warunków udziału w postępowaniu Wykonawca będzie zobowiązany przedłożyć:</w:t>
      </w:r>
    </w:p>
    <w:p w14:paraId="2D274683" w14:textId="148CA5FA" w:rsidR="00153B75" w:rsidRDefault="001875D6" w:rsidP="000A31E0">
      <w:pPr>
        <w:numPr>
          <w:ilvl w:val="4"/>
          <w:numId w:val="3"/>
        </w:numPr>
        <w:ind w:right="337" w:hanging="360"/>
        <w:rPr>
          <w:rFonts w:asciiTheme="minorHAnsi" w:hAnsiTheme="minorHAnsi" w:cstheme="minorHAnsi"/>
          <w:sz w:val="22"/>
        </w:rPr>
      </w:pPr>
      <w:r w:rsidRPr="009E2E70">
        <w:rPr>
          <w:rFonts w:asciiTheme="minorHAnsi" w:hAnsiTheme="minorHAnsi" w:cstheme="minorHAnsi"/>
          <w:sz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E2E70">
        <w:rPr>
          <w:rFonts w:asciiTheme="minorHAnsi" w:hAnsiTheme="minorHAnsi" w:cstheme="minorHAnsi"/>
          <w:sz w:val="22"/>
        </w:rPr>
        <w:t xml:space="preserve"> </w:t>
      </w:r>
      <w:bookmarkStart w:id="1" w:name="_Hlk66261453"/>
      <w:r w:rsidR="009E2E70">
        <w:rPr>
          <w:rFonts w:asciiTheme="minorHAnsi" w:hAnsiTheme="minorHAnsi" w:cstheme="minorHAnsi"/>
          <w:sz w:val="22"/>
        </w:rPr>
        <w:t>(</w:t>
      </w:r>
      <w:r w:rsidR="009E2E70" w:rsidRPr="00D6516E">
        <w:rPr>
          <w:rFonts w:asciiTheme="minorHAnsi" w:hAnsiTheme="minorHAnsi" w:cstheme="minorHAnsi"/>
          <w:b/>
          <w:bCs/>
          <w:sz w:val="22"/>
        </w:rPr>
        <w:t>Wzór – Załącznik nr 6 do SWZ</w:t>
      </w:r>
      <w:r w:rsidR="009E2E70">
        <w:rPr>
          <w:rFonts w:asciiTheme="minorHAnsi" w:hAnsiTheme="minorHAnsi" w:cstheme="minorHAnsi"/>
          <w:sz w:val="22"/>
        </w:rPr>
        <w:t>)</w:t>
      </w:r>
      <w:bookmarkEnd w:id="1"/>
      <w:r w:rsidRPr="009E2E70">
        <w:rPr>
          <w:rFonts w:asciiTheme="minorHAnsi" w:hAnsiTheme="minorHAnsi" w:cstheme="minorHAnsi"/>
          <w:sz w:val="22"/>
        </w:rPr>
        <w:t>;</w:t>
      </w:r>
    </w:p>
    <w:p w14:paraId="1932D0F2" w14:textId="2B21D921" w:rsidR="009E2E70" w:rsidRDefault="009E2E70" w:rsidP="000A31E0">
      <w:pPr>
        <w:numPr>
          <w:ilvl w:val="4"/>
          <w:numId w:val="3"/>
        </w:numPr>
        <w:ind w:right="337" w:hanging="360"/>
        <w:rPr>
          <w:rFonts w:asciiTheme="minorHAnsi" w:hAnsiTheme="minorHAnsi" w:cstheme="minorHAnsi"/>
          <w:sz w:val="22"/>
        </w:rPr>
      </w:pPr>
      <w:r w:rsidRPr="009E2E7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nich czynności oraz informacją o podstawie dysponowania tymi osobami</w:t>
      </w:r>
      <w:r>
        <w:rPr>
          <w:rFonts w:asciiTheme="minorHAnsi" w:hAnsiTheme="minorHAnsi" w:cstheme="minorHAnsi"/>
          <w:sz w:val="22"/>
        </w:rPr>
        <w:t xml:space="preserve"> </w:t>
      </w:r>
      <w:r w:rsidRPr="009E2E70">
        <w:rPr>
          <w:rFonts w:asciiTheme="minorHAnsi" w:hAnsiTheme="minorHAnsi" w:cstheme="minorHAnsi"/>
          <w:sz w:val="22"/>
        </w:rPr>
        <w:t>(</w:t>
      </w:r>
      <w:r w:rsidRPr="00D6516E">
        <w:rPr>
          <w:rFonts w:asciiTheme="minorHAnsi" w:hAnsiTheme="minorHAnsi" w:cstheme="minorHAnsi"/>
          <w:b/>
          <w:bCs/>
          <w:sz w:val="22"/>
        </w:rPr>
        <w:t>Wzór – Załącznik nr 7 do SWZ</w:t>
      </w:r>
      <w:r w:rsidRPr="009E2E70">
        <w:rPr>
          <w:rFonts w:asciiTheme="minorHAnsi" w:hAnsiTheme="minorHAnsi" w:cstheme="minorHAnsi"/>
          <w:sz w:val="22"/>
        </w:rPr>
        <w:t>)</w:t>
      </w:r>
      <w:r>
        <w:rPr>
          <w:rFonts w:asciiTheme="minorHAnsi" w:hAnsiTheme="minorHAnsi" w:cstheme="minorHAnsi"/>
          <w:sz w:val="22"/>
        </w:rPr>
        <w:t>;</w:t>
      </w:r>
    </w:p>
    <w:p w14:paraId="4C939DC1" w14:textId="609DD68D" w:rsidR="009E2E70" w:rsidRPr="009E2E70" w:rsidRDefault="009E2E70" w:rsidP="000A31E0">
      <w:pPr>
        <w:numPr>
          <w:ilvl w:val="4"/>
          <w:numId w:val="3"/>
        </w:numPr>
        <w:ind w:right="337" w:hanging="360"/>
        <w:rPr>
          <w:rFonts w:asciiTheme="minorHAnsi" w:hAnsiTheme="minorHAnsi" w:cstheme="minorHAnsi"/>
          <w:sz w:val="22"/>
        </w:rPr>
      </w:pPr>
      <w:r w:rsidRPr="009E2E70">
        <w:rPr>
          <w:rFonts w:asciiTheme="minorHAnsi" w:hAnsiTheme="minorHAnsi" w:cstheme="minorHAnsi"/>
          <w:sz w:val="22"/>
        </w:rPr>
        <w:t>informacj</w:t>
      </w:r>
      <w:r>
        <w:rPr>
          <w:rFonts w:asciiTheme="minorHAnsi" w:hAnsiTheme="minorHAnsi" w:cstheme="minorHAnsi"/>
          <w:sz w:val="22"/>
        </w:rPr>
        <w:t>ę</w:t>
      </w:r>
      <w:r w:rsidRPr="009E2E70">
        <w:rPr>
          <w:rFonts w:asciiTheme="minorHAnsi" w:hAnsiTheme="minorHAnsi" w:cstheme="minorHAnsi"/>
          <w:sz w:val="22"/>
        </w:rPr>
        <w:t xml:space="preserve">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0C7D5DCE"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Wzór – Załącznik nr 8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2994F6DE" w:rsidR="00153B75" w:rsidRPr="00193676" w:rsidRDefault="001875D6" w:rsidP="000A31E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lastRenderedPageBreak/>
        <w:t xml:space="preserve">w pkt </w:t>
      </w:r>
      <w:r w:rsidRPr="00193676">
        <w:rPr>
          <w:rFonts w:asciiTheme="minorHAnsi" w:hAnsiTheme="minorHAnsi" w:cstheme="minorHAnsi"/>
          <w:b/>
          <w:bCs/>
          <w:sz w:val="22"/>
        </w:rPr>
        <w:t>8.2.4</w:t>
      </w:r>
      <w:r w:rsidR="00193676" w:rsidRPr="00193676">
        <w:rPr>
          <w:rFonts w:asciiTheme="minorHAnsi" w:hAnsiTheme="minorHAnsi" w:cstheme="minorHAnsi"/>
          <w:b/>
          <w:bCs/>
          <w:sz w:val="22"/>
        </w:rPr>
        <w:t>.e</w:t>
      </w:r>
      <w:r w:rsidRPr="00193676">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50438D18" w14:textId="7CFE980B" w:rsidR="00153B75" w:rsidRPr="00193676" w:rsidRDefault="001875D6" w:rsidP="000A31E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Pr="00193676">
        <w:rPr>
          <w:rFonts w:asciiTheme="minorHAnsi" w:hAnsiTheme="minorHAnsi" w:cstheme="minorHAnsi"/>
          <w:b/>
          <w:bCs/>
          <w:sz w:val="22"/>
        </w:rPr>
        <w:t>8.2.4</w:t>
      </w:r>
      <w:r w:rsidR="00193676" w:rsidRPr="00193676">
        <w:rPr>
          <w:rFonts w:asciiTheme="minorHAnsi" w:hAnsiTheme="minorHAnsi" w:cstheme="minorHAnsi"/>
          <w:b/>
          <w:bCs/>
          <w:sz w:val="22"/>
        </w:rPr>
        <w:t>.e</w:t>
      </w:r>
      <w:r w:rsidRPr="00193676">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1C9C5507" w:rsidR="00DF15E4" w:rsidRPr="008D61AA" w:rsidRDefault="00082310" w:rsidP="000A31E0">
      <w:pPr>
        <w:pStyle w:val="Akapitzlist"/>
        <w:numPr>
          <w:ilvl w:val="0"/>
          <w:numId w:val="20"/>
        </w:numPr>
        <w:ind w:left="1843" w:right="337" w:hanging="283"/>
        <w:rPr>
          <w:rFonts w:asciiTheme="minorHAnsi" w:hAnsiTheme="minorHAnsi" w:cstheme="minorHAnsi"/>
          <w:color w:val="auto"/>
          <w:sz w:val="22"/>
        </w:rPr>
      </w:pPr>
      <w:r w:rsidRPr="008D61AA">
        <w:rPr>
          <w:rFonts w:asciiTheme="minorHAnsi" w:hAnsiTheme="minorHAnsi" w:cstheme="minorHAnsi"/>
          <w:color w:val="auto"/>
          <w:sz w:val="22"/>
        </w:rPr>
        <w:t xml:space="preserve">Pan Jarosław </w:t>
      </w:r>
      <w:proofErr w:type="spellStart"/>
      <w:r w:rsidRPr="008D61AA">
        <w:rPr>
          <w:rFonts w:asciiTheme="minorHAnsi" w:hAnsiTheme="minorHAnsi" w:cstheme="minorHAnsi"/>
          <w:color w:val="auto"/>
          <w:sz w:val="22"/>
        </w:rPr>
        <w:t>Oksztul</w:t>
      </w:r>
      <w:proofErr w:type="spellEnd"/>
      <w:r w:rsidR="00B2198A" w:rsidRPr="008D61AA">
        <w:rPr>
          <w:rFonts w:asciiTheme="minorHAnsi" w:hAnsiTheme="minorHAnsi" w:cstheme="minorHAnsi"/>
          <w:color w:val="auto"/>
          <w:sz w:val="22"/>
        </w:rPr>
        <w:t xml:space="preserve"> – w sprawach dotyczących przedmiotu zamówienia </w:t>
      </w:r>
      <w:r w:rsidR="00B2198A" w:rsidRPr="008D61AA">
        <w:rPr>
          <w:rFonts w:asciiTheme="minorHAnsi" w:hAnsiTheme="minorHAnsi" w:cstheme="minorHAnsi"/>
          <w:b/>
          <w:color w:val="auto"/>
          <w:sz w:val="22"/>
        </w:rPr>
        <w:t xml:space="preserve">tel. </w:t>
      </w:r>
      <w:r w:rsidRPr="008D61AA">
        <w:rPr>
          <w:rFonts w:asciiTheme="minorHAnsi" w:hAnsiTheme="minorHAnsi" w:cstheme="minorHAnsi"/>
          <w:bCs/>
          <w:color w:val="auto"/>
          <w:sz w:val="22"/>
        </w:rPr>
        <w:t>85</w:t>
      </w:r>
      <w:r w:rsidR="008D61AA">
        <w:rPr>
          <w:rFonts w:asciiTheme="minorHAnsi" w:hAnsiTheme="minorHAnsi" w:cstheme="minorHAnsi"/>
          <w:bCs/>
          <w:color w:val="auto"/>
          <w:sz w:val="22"/>
        </w:rPr>
        <w:t xml:space="preserve"> </w:t>
      </w:r>
      <w:r w:rsidRPr="008D61AA">
        <w:rPr>
          <w:rFonts w:asciiTheme="minorHAnsi" w:hAnsiTheme="minorHAnsi" w:cstheme="minorHAnsi"/>
          <w:bCs/>
          <w:color w:val="auto"/>
          <w:sz w:val="22"/>
        </w:rPr>
        <w:t>6578515 wew. 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lastRenderedPageBreak/>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411825"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F64CE">
        <w:rPr>
          <w:rFonts w:asciiTheme="minorHAnsi" w:hAnsiTheme="minorHAnsi" w:cstheme="minorHAnsi"/>
          <w:sz w:val="22"/>
        </w:rPr>
        <w:t>t.j</w:t>
      </w:r>
      <w:proofErr w:type="spellEnd"/>
      <w:r w:rsidRPr="00FF64CE">
        <w:rPr>
          <w:rFonts w:asciiTheme="minorHAnsi" w:hAnsiTheme="minorHAnsi" w:cstheme="minorHAnsi"/>
          <w:sz w:val="22"/>
        </w:rPr>
        <w:t>.: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086FB8" w:rsidRPr="00086FB8">
        <w:rPr>
          <w:rFonts w:asciiTheme="minorHAnsi" w:hAnsiTheme="minorHAnsi" w:cstheme="minorHAnsi"/>
          <w:sz w:val="22"/>
        </w:rPr>
        <w:t>t.j</w:t>
      </w:r>
      <w:proofErr w:type="spellEnd"/>
      <w:r w:rsidR="00086FB8" w:rsidRPr="00086FB8">
        <w:rPr>
          <w:rFonts w:asciiTheme="minorHAnsi" w:hAnsiTheme="minorHAnsi" w:cstheme="minorHAnsi"/>
          <w:sz w:val="22"/>
        </w:rPr>
        <w:t>.: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457328A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ryczałtowe za realizację przedmiotu zamówienia na którą Wykonawca składa ofertę. Cena oferty – jest to kwota wymieniona w Formularzu </w:t>
      </w:r>
      <w:r w:rsidRPr="00B2198A">
        <w:rPr>
          <w:rFonts w:asciiTheme="minorHAnsi" w:hAnsiTheme="minorHAnsi" w:cstheme="minorHAnsi"/>
          <w:sz w:val="22"/>
        </w:rPr>
        <w:lastRenderedPageBreak/>
        <w:t>oferty (</w:t>
      </w:r>
      <w:r w:rsidRPr="00B2198A">
        <w:rPr>
          <w:rFonts w:asciiTheme="minorHAnsi" w:hAnsiTheme="minorHAnsi" w:cstheme="minorHAnsi"/>
          <w:b/>
          <w:sz w:val="22"/>
        </w:rPr>
        <w:t>Załącznik nr 3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7AB1D257" w14:textId="12B61FDD"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Podstawą do określenia ceny oferty jest </w:t>
      </w:r>
      <w:r w:rsidR="00D87659" w:rsidRPr="00D87659">
        <w:rPr>
          <w:rFonts w:asciiTheme="minorHAnsi" w:hAnsiTheme="minorHAnsi" w:cstheme="minorHAnsi"/>
          <w:sz w:val="22"/>
        </w:rPr>
        <w:t>dokumentacj</w:t>
      </w:r>
      <w:r w:rsidR="00D87659">
        <w:rPr>
          <w:rFonts w:asciiTheme="minorHAnsi" w:hAnsiTheme="minorHAnsi" w:cstheme="minorHAnsi"/>
          <w:sz w:val="22"/>
        </w:rPr>
        <w:t>a</w:t>
      </w:r>
      <w:r w:rsidR="00D87659" w:rsidRPr="00D87659">
        <w:rPr>
          <w:rFonts w:asciiTheme="minorHAnsi" w:hAnsiTheme="minorHAnsi" w:cstheme="minorHAnsi"/>
          <w:sz w:val="22"/>
        </w:rPr>
        <w:t xml:space="preserve"> projektow</w:t>
      </w:r>
      <w:r w:rsidR="00D87659">
        <w:rPr>
          <w:rFonts w:asciiTheme="minorHAnsi" w:hAnsiTheme="minorHAnsi" w:cstheme="minorHAnsi"/>
          <w:sz w:val="22"/>
        </w:rPr>
        <w:t>a</w:t>
      </w:r>
      <w:r w:rsidR="00D87659" w:rsidRPr="00D87659">
        <w:rPr>
          <w:rFonts w:asciiTheme="minorHAnsi" w:hAnsiTheme="minorHAnsi" w:cstheme="minorHAnsi"/>
          <w:sz w:val="22"/>
        </w:rPr>
        <w:t>, specyfikacj</w:t>
      </w:r>
      <w:r w:rsidR="00D87659">
        <w:rPr>
          <w:rFonts w:asciiTheme="minorHAnsi" w:hAnsiTheme="minorHAnsi" w:cstheme="minorHAnsi"/>
          <w:sz w:val="22"/>
        </w:rPr>
        <w:t>e</w:t>
      </w:r>
      <w:r w:rsidR="00D87659" w:rsidRPr="00D87659">
        <w:rPr>
          <w:rFonts w:asciiTheme="minorHAnsi" w:hAnsiTheme="minorHAnsi" w:cstheme="minorHAnsi"/>
          <w:sz w:val="22"/>
        </w:rPr>
        <w:t xml:space="preserve"> techniczn</w:t>
      </w:r>
      <w:r w:rsidR="00D87659">
        <w:rPr>
          <w:rFonts w:asciiTheme="minorHAnsi" w:hAnsiTheme="minorHAnsi" w:cstheme="minorHAnsi"/>
          <w:sz w:val="22"/>
        </w:rPr>
        <w:t>e</w:t>
      </w:r>
      <w:r w:rsidR="00D87659" w:rsidRPr="00D87659">
        <w:rPr>
          <w:rFonts w:asciiTheme="minorHAnsi" w:hAnsiTheme="minorHAnsi" w:cstheme="minorHAnsi"/>
          <w:sz w:val="22"/>
        </w:rPr>
        <w:t xml:space="preserve"> wykonania i odbioru robót</w:t>
      </w:r>
      <w:r w:rsidR="00D87659">
        <w:rPr>
          <w:rFonts w:asciiTheme="minorHAnsi" w:hAnsiTheme="minorHAnsi" w:cstheme="minorHAnsi"/>
          <w:sz w:val="22"/>
        </w:rPr>
        <w:t xml:space="preserve"> oraz</w:t>
      </w:r>
      <w:r w:rsidR="00D87659" w:rsidRPr="00D87659">
        <w:rPr>
          <w:rFonts w:asciiTheme="minorHAnsi" w:hAnsiTheme="minorHAnsi" w:cstheme="minorHAnsi"/>
          <w:sz w:val="22"/>
        </w:rPr>
        <w:t xml:space="preserve"> przedmiary (stanowiące materiał pomocniczy)</w:t>
      </w:r>
      <w:r w:rsidR="00D87659">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00FDC27C"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jest zobowiązany do wniesienia wadium w </w:t>
      </w:r>
      <w:r w:rsidRPr="00DF15E4">
        <w:rPr>
          <w:rFonts w:asciiTheme="minorHAnsi" w:hAnsiTheme="minorHAnsi" w:cstheme="minorHAnsi"/>
          <w:sz w:val="22"/>
        </w:rPr>
        <w:t xml:space="preserve">wysokości </w:t>
      </w:r>
      <w:r w:rsidR="00D87659">
        <w:rPr>
          <w:rFonts w:asciiTheme="minorHAnsi" w:hAnsiTheme="minorHAnsi" w:cstheme="minorHAnsi"/>
          <w:b/>
          <w:sz w:val="22"/>
        </w:rPr>
        <w:t>30</w:t>
      </w:r>
      <w:r w:rsidR="007E70CC" w:rsidRPr="00DF15E4">
        <w:rPr>
          <w:rFonts w:asciiTheme="minorHAnsi" w:hAnsiTheme="minorHAnsi" w:cstheme="minorHAnsi"/>
          <w:b/>
          <w:sz w:val="22"/>
        </w:rPr>
        <w:t>.</w:t>
      </w:r>
      <w:r w:rsidRPr="00DF15E4">
        <w:rPr>
          <w:rFonts w:asciiTheme="minorHAnsi" w:hAnsiTheme="minorHAnsi" w:cstheme="minorHAnsi"/>
          <w:b/>
          <w:sz w:val="22"/>
        </w:rPr>
        <w:t>000 PLN</w:t>
      </w:r>
      <w:r w:rsidRPr="00DF15E4">
        <w:rPr>
          <w:rFonts w:asciiTheme="minorHAnsi" w:hAnsiTheme="minorHAnsi" w:cstheme="minorHAnsi"/>
          <w:sz w:val="22"/>
        </w:rPr>
        <w:t xml:space="preserve"> (</w:t>
      </w:r>
      <w:r w:rsidRPr="00DF15E4">
        <w:rPr>
          <w:rFonts w:asciiTheme="minorHAnsi" w:hAnsiTheme="minorHAnsi" w:cstheme="minorHAnsi"/>
          <w:i/>
          <w:sz w:val="22"/>
        </w:rPr>
        <w:t xml:space="preserve">słownie złotych: </w:t>
      </w:r>
      <w:r w:rsidR="00D87659">
        <w:rPr>
          <w:rFonts w:asciiTheme="minorHAnsi" w:hAnsiTheme="minorHAnsi" w:cstheme="minorHAnsi"/>
          <w:i/>
          <w:sz w:val="22"/>
        </w:rPr>
        <w:t>trzydzieści</w:t>
      </w:r>
      <w:r w:rsidR="007E70CC" w:rsidRPr="00DF15E4">
        <w:rPr>
          <w:rFonts w:asciiTheme="minorHAnsi" w:hAnsiTheme="minorHAnsi" w:cstheme="minorHAnsi"/>
          <w:i/>
          <w:sz w:val="22"/>
        </w:rPr>
        <w:t xml:space="preserve"> tysięcy złotych 00/100</w:t>
      </w:r>
      <w:r w:rsidRPr="00DF15E4">
        <w:rPr>
          <w:rFonts w:asciiTheme="minorHAnsi" w:hAnsiTheme="minorHAnsi" w:cstheme="minorHAnsi"/>
          <w:sz w:val="22"/>
        </w:rPr>
        <w:t xml:space="preserve">). </w:t>
      </w:r>
    </w:p>
    <w:p w14:paraId="4A6AACFF" w14:textId="4BABC898"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Wadium musi być wniesione przed upływem terminu składania ofert w jednej lub kilku następujących formach wymienionych w art. 97 ust. 7 ustawy, w zależności od wyboru Wykonawcy. </w:t>
      </w:r>
    </w:p>
    <w:p w14:paraId="797BA07A" w14:textId="27379115" w:rsidR="00153B75" w:rsidRDefault="001875D6">
      <w:pPr>
        <w:numPr>
          <w:ilvl w:val="1"/>
          <w:numId w:val="1"/>
        </w:numPr>
        <w:ind w:right="337" w:hanging="852"/>
      </w:pPr>
      <w:r w:rsidRPr="007E70CC">
        <w:rPr>
          <w:rFonts w:asciiTheme="minorHAnsi" w:hAnsiTheme="minorHAnsi" w:cstheme="minorHAnsi"/>
          <w:sz w:val="22"/>
        </w:rPr>
        <w:t>Jeżeli wadium jest wnoszone w formie gwarancji lub poręczenia Wykonawca przekazuje Zamawiającemu oryginał gwarancji lub poręczenia w postaci elektronicznej. Wadium musi obejmować cały okres związania ofertą. Treść gwarancji lub poręczenia nie może zawierać postanowień uzależniających jego dalsze obowiązywanie od zwrotu oryginału dokumentu gwarancyjnego do gwaranta.</w:t>
      </w:r>
      <w:r>
        <w:t xml:space="preserve">   </w:t>
      </w:r>
    </w:p>
    <w:p w14:paraId="23025B8C" w14:textId="6F7A257B" w:rsidR="00153B75" w:rsidRPr="007E70CC" w:rsidRDefault="001875D6">
      <w:pPr>
        <w:ind w:left="716" w:right="337"/>
        <w:rPr>
          <w:rFonts w:asciiTheme="minorHAnsi" w:hAnsiTheme="minorHAnsi" w:cstheme="minorHAnsi"/>
          <w:sz w:val="22"/>
        </w:rPr>
      </w:pPr>
      <w:r w:rsidRPr="007E70CC">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C7ECFFE" w14:textId="77777777" w:rsidR="00153B75" w:rsidRPr="007E70CC" w:rsidRDefault="001875D6">
      <w:pPr>
        <w:ind w:left="716" w:right="337"/>
        <w:rPr>
          <w:rFonts w:asciiTheme="minorHAnsi" w:hAnsiTheme="minorHAnsi" w:cstheme="minorHAnsi"/>
          <w:sz w:val="22"/>
        </w:rPr>
      </w:pPr>
      <w:r w:rsidRPr="007E70CC">
        <w:rPr>
          <w:rFonts w:asciiTheme="minorHAnsi" w:hAnsiTheme="minorHAnsi" w:cstheme="minorHAnsi"/>
          <w:sz w:val="22"/>
        </w:rPr>
        <w:t xml:space="preserve">Gwarancja lub poręczenie musi zawierać w swojej treści </w:t>
      </w:r>
      <w:r w:rsidRPr="007E70CC">
        <w:rPr>
          <w:rFonts w:asciiTheme="minorHAnsi" w:hAnsiTheme="minorHAnsi" w:cstheme="minorHAnsi"/>
          <w:b/>
          <w:sz w:val="22"/>
        </w:rPr>
        <w:t xml:space="preserve">nieodwołalne i bezwarunkowe </w:t>
      </w:r>
      <w:r w:rsidRPr="007E70CC">
        <w:rPr>
          <w:rFonts w:asciiTheme="minorHAnsi" w:hAnsiTheme="minorHAnsi" w:cstheme="minorHAnsi"/>
          <w:sz w:val="22"/>
        </w:rPr>
        <w:t xml:space="preserve">zobowiązanie wystawcy dokumentu do zapłaty na rzecz Zamawiającego kwoty wadium płatne na pierwsze pisemne żądanie Zamawiającego.  </w:t>
      </w:r>
    </w:p>
    <w:p w14:paraId="17FE1DB7" w14:textId="77777777" w:rsidR="00153B75" w:rsidRPr="007E70CC" w:rsidRDefault="001875D6">
      <w:pPr>
        <w:ind w:left="713" w:right="337"/>
        <w:rPr>
          <w:rFonts w:asciiTheme="minorHAnsi" w:hAnsiTheme="minorHAnsi" w:cstheme="minorHAnsi"/>
          <w:sz w:val="22"/>
        </w:rPr>
      </w:pPr>
      <w:r w:rsidRPr="007E70CC">
        <w:rPr>
          <w:rFonts w:asciiTheme="minorHAnsi" w:hAnsiTheme="minorHAnsi" w:cstheme="minorHAnsi"/>
          <w:sz w:val="22"/>
        </w:rPr>
        <w:t xml:space="preserve">Gwarancja lub poręczenie musi zawierać w swojej treści wskazanie adresu e-mail lub adresu pocztowego na który Zamawiający prześle oświadczenie o zwolnieniu wadium. </w:t>
      </w:r>
    </w:p>
    <w:p w14:paraId="03AE20C6" w14:textId="17C99736"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Wadium wniesione w pieniądzu przelewem na rachunek bankowy musi wpłynąć na rachunek bankowy Zamawiającego </w:t>
      </w:r>
      <w:r w:rsidR="00B2198A">
        <w:rPr>
          <w:rFonts w:asciiTheme="minorHAnsi" w:hAnsiTheme="minorHAnsi" w:cstheme="minorHAnsi"/>
          <w:sz w:val="22"/>
        </w:rPr>
        <w:t>w</w:t>
      </w:r>
      <w:r w:rsidR="00964BDF">
        <w:rPr>
          <w:rFonts w:asciiTheme="minorHAnsi" w:hAnsiTheme="minorHAnsi" w:cstheme="minorHAnsi"/>
          <w:sz w:val="22"/>
        </w:rPr>
        <w:t xml:space="preserve"> BS</w:t>
      </w:r>
      <w:r w:rsidRPr="007E70CC">
        <w:rPr>
          <w:rFonts w:asciiTheme="minorHAnsi" w:hAnsiTheme="minorHAnsi" w:cstheme="minorHAnsi"/>
          <w:sz w:val="22"/>
        </w:rPr>
        <w:t xml:space="preserve"> </w:t>
      </w:r>
      <w:r w:rsidR="00082310" w:rsidRPr="00964BDF">
        <w:rPr>
          <w:rFonts w:asciiTheme="minorHAnsi" w:hAnsiTheme="minorHAnsi" w:cstheme="minorHAnsi"/>
          <w:bCs/>
          <w:color w:val="auto"/>
          <w:sz w:val="22"/>
        </w:rPr>
        <w:t>Ciechanowcu o. w Perlejewie</w:t>
      </w:r>
      <w:r w:rsidR="00B2198A" w:rsidRPr="00964BDF">
        <w:rPr>
          <w:rFonts w:asciiTheme="minorHAnsi" w:hAnsiTheme="minorHAnsi" w:cstheme="minorHAnsi"/>
          <w:b/>
          <w:color w:val="auto"/>
          <w:sz w:val="22"/>
        </w:rPr>
        <w:t xml:space="preserve"> </w:t>
      </w:r>
      <w:r w:rsidR="00A41EB4" w:rsidRPr="00964BDF">
        <w:rPr>
          <w:rFonts w:asciiTheme="minorHAnsi" w:hAnsiTheme="minorHAnsi" w:cstheme="minorHAnsi"/>
          <w:b/>
          <w:color w:val="auto"/>
          <w:sz w:val="22"/>
        </w:rPr>
        <w:t xml:space="preserve">nr </w:t>
      </w:r>
      <w:r w:rsidR="00D87659" w:rsidRPr="00964BDF">
        <w:rPr>
          <w:rFonts w:asciiTheme="minorHAnsi" w:hAnsiTheme="minorHAnsi" w:cstheme="minorHAnsi"/>
          <w:b/>
          <w:color w:val="auto"/>
          <w:sz w:val="22"/>
        </w:rPr>
        <w:t>39 8749 0006 1300 0228 2000 0030</w:t>
      </w:r>
      <w:r w:rsidRPr="007E70CC">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 </w:t>
      </w:r>
    </w:p>
    <w:p w14:paraId="4A2BF6CA" w14:textId="3164AB6D"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Zamawiający dokona zwrotu wadium na zasadach określonych w art. 98 ust. 1  i 2 ustawy.  Wykonawca będzie miał możliwość w przypadkach określonych w art. 98 </w:t>
      </w:r>
      <w:r w:rsidRPr="007E70CC">
        <w:rPr>
          <w:rFonts w:asciiTheme="minorHAnsi" w:hAnsiTheme="minorHAnsi" w:cstheme="minorHAnsi"/>
          <w:sz w:val="22"/>
        </w:rPr>
        <w:lastRenderedPageBreak/>
        <w:t xml:space="preserve">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13A77954" w14:textId="008BBBC9" w:rsidR="00153B75" w:rsidRPr="007E70CC" w:rsidRDefault="001875D6">
      <w:pPr>
        <w:numPr>
          <w:ilvl w:val="1"/>
          <w:numId w:val="1"/>
        </w:numPr>
        <w:spacing w:after="14" w:line="267" w:lineRule="auto"/>
        <w:ind w:right="337" w:hanging="852"/>
        <w:rPr>
          <w:rFonts w:asciiTheme="minorHAnsi" w:hAnsiTheme="minorHAnsi" w:cstheme="minorHAnsi"/>
          <w:bCs/>
          <w:sz w:val="22"/>
        </w:rPr>
      </w:pPr>
      <w:r w:rsidRPr="007E70CC">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1AE64C1B" w14:textId="5AFF2123"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Zamawiający zatrzyma wadium wraz z odsetkami, w przypadkach określonych w art. 98 ust. 6 ustawy. </w:t>
      </w:r>
    </w:p>
    <w:p w14:paraId="10027151" w14:textId="77777777" w:rsidR="00153B75" w:rsidRDefault="001875D6">
      <w:pPr>
        <w:spacing w:after="29" w:line="259" w:lineRule="auto"/>
        <w:ind w:left="427" w:right="0" w:firstLine="0"/>
        <w:jc w:val="left"/>
      </w:pPr>
      <w: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5548457" w:rsidR="00153B75" w:rsidRPr="008D61AA"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2618EC">
        <w:rPr>
          <w:rFonts w:asciiTheme="minorHAnsi" w:hAnsiTheme="minorHAnsi" w:cstheme="minorHAnsi"/>
          <w:b/>
          <w:bCs/>
          <w:sz w:val="22"/>
        </w:rPr>
        <w:t>06</w:t>
      </w:r>
      <w:r w:rsidR="00C60B94" w:rsidRPr="008D61AA">
        <w:rPr>
          <w:rFonts w:asciiTheme="minorHAnsi" w:hAnsiTheme="minorHAnsi" w:cstheme="minorHAnsi"/>
          <w:b/>
          <w:bCs/>
          <w:sz w:val="22"/>
        </w:rPr>
        <w:t>.09</w:t>
      </w:r>
      <w:r w:rsidR="001875D6" w:rsidRPr="008D61AA">
        <w:rPr>
          <w:rFonts w:asciiTheme="minorHAnsi" w:hAnsiTheme="minorHAnsi" w:cstheme="minorHAnsi"/>
          <w:b/>
          <w:sz w:val="22"/>
        </w:rPr>
        <w:t>.202</w:t>
      </w:r>
      <w:r w:rsidRPr="008D61AA">
        <w:rPr>
          <w:rFonts w:asciiTheme="minorHAnsi" w:hAnsiTheme="minorHAnsi" w:cstheme="minorHAnsi"/>
          <w:b/>
          <w:sz w:val="22"/>
        </w:rPr>
        <w:t>1</w:t>
      </w:r>
      <w:r w:rsidR="001875D6" w:rsidRPr="008D61AA">
        <w:rPr>
          <w:rFonts w:asciiTheme="minorHAnsi" w:hAnsiTheme="minorHAnsi" w:cstheme="minorHAnsi"/>
          <w:b/>
          <w:sz w:val="22"/>
        </w:rPr>
        <w:t xml:space="preserve"> r. do godz. </w:t>
      </w:r>
      <w:r w:rsidRPr="008D61AA">
        <w:rPr>
          <w:rFonts w:asciiTheme="minorHAnsi" w:hAnsiTheme="minorHAnsi" w:cstheme="minorHAnsi"/>
          <w:b/>
          <w:sz w:val="22"/>
        </w:rPr>
        <w:t>1</w:t>
      </w:r>
      <w:r w:rsidR="00800996" w:rsidRPr="008D61AA">
        <w:rPr>
          <w:rFonts w:asciiTheme="minorHAnsi" w:hAnsiTheme="minorHAnsi" w:cstheme="minorHAnsi"/>
          <w:b/>
          <w:sz w:val="22"/>
        </w:rPr>
        <w:t>1</w:t>
      </w:r>
      <w:r w:rsidR="001875D6" w:rsidRPr="008D61AA">
        <w:rPr>
          <w:rFonts w:asciiTheme="minorHAnsi" w:hAnsiTheme="minorHAnsi" w:cstheme="minorHAnsi"/>
          <w:b/>
          <w:sz w:val="22"/>
        </w:rPr>
        <w:t>:00</w:t>
      </w:r>
      <w:r w:rsidRPr="008D61AA">
        <w:rPr>
          <w:rFonts w:asciiTheme="minorHAnsi" w:hAnsiTheme="minorHAnsi" w:cstheme="minorHAnsi"/>
          <w:b/>
          <w:sz w:val="22"/>
        </w:rPr>
        <w:t>.</w:t>
      </w:r>
      <w:r w:rsidR="001875D6" w:rsidRPr="008D61AA">
        <w:rPr>
          <w:rFonts w:asciiTheme="minorHAnsi" w:hAnsiTheme="minorHAnsi" w:cstheme="minorHAnsi"/>
          <w:b/>
          <w:sz w:val="22"/>
        </w:rPr>
        <w:t xml:space="preserve"> </w:t>
      </w:r>
    </w:p>
    <w:p w14:paraId="50C212C1" w14:textId="0ABA904D" w:rsidR="003E26D3" w:rsidRPr="008D61AA" w:rsidRDefault="003E26D3">
      <w:pPr>
        <w:numPr>
          <w:ilvl w:val="1"/>
          <w:numId w:val="1"/>
        </w:numPr>
        <w:spacing w:after="14" w:line="267" w:lineRule="auto"/>
        <w:ind w:right="337" w:hanging="852"/>
        <w:rPr>
          <w:rFonts w:asciiTheme="minorHAnsi" w:hAnsiTheme="minorHAnsi" w:cstheme="minorHAnsi"/>
          <w:bCs/>
          <w:sz w:val="22"/>
        </w:rPr>
      </w:pPr>
      <w:r w:rsidRPr="008D61AA">
        <w:rPr>
          <w:rFonts w:asciiTheme="minorHAnsi" w:hAnsiTheme="minorHAnsi" w:cstheme="minorHAnsi"/>
          <w:bCs/>
          <w:sz w:val="22"/>
        </w:rPr>
        <w:t xml:space="preserve">Otwarcie ofert nastąpi w dniu </w:t>
      </w:r>
      <w:r w:rsidR="002618EC">
        <w:rPr>
          <w:rFonts w:asciiTheme="minorHAnsi" w:hAnsiTheme="minorHAnsi" w:cstheme="minorHAnsi"/>
          <w:b/>
          <w:bCs/>
          <w:sz w:val="22"/>
        </w:rPr>
        <w:t>06</w:t>
      </w:r>
      <w:r w:rsidR="00C60B94" w:rsidRPr="008D61AA">
        <w:rPr>
          <w:rFonts w:asciiTheme="minorHAnsi" w:hAnsiTheme="minorHAnsi" w:cstheme="minorHAnsi"/>
          <w:b/>
          <w:bCs/>
          <w:sz w:val="22"/>
        </w:rPr>
        <w:t>.09</w:t>
      </w:r>
      <w:r w:rsidRPr="008D61AA">
        <w:rPr>
          <w:rFonts w:asciiTheme="minorHAnsi" w:hAnsiTheme="minorHAnsi" w:cstheme="minorHAnsi"/>
          <w:b/>
          <w:sz w:val="22"/>
        </w:rPr>
        <w:t>.2021 r., o godzinie 1</w:t>
      </w:r>
      <w:r w:rsidR="00C60B94" w:rsidRPr="008D61AA">
        <w:rPr>
          <w:rFonts w:asciiTheme="minorHAnsi" w:hAnsiTheme="minorHAnsi" w:cstheme="minorHAnsi"/>
          <w:b/>
          <w:sz w:val="22"/>
        </w:rPr>
        <w:t>1</w:t>
      </w:r>
      <w:r w:rsidRPr="008D61AA">
        <w:rPr>
          <w:rFonts w:asciiTheme="minorHAnsi" w:hAnsiTheme="minorHAnsi" w:cstheme="minorHAnsi"/>
          <w:b/>
          <w:sz w:val="22"/>
        </w:rPr>
        <w:t>:</w:t>
      </w:r>
      <w:r w:rsidR="00C60B94" w:rsidRPr="008D61AA">
        <w:rPr>
          <w:rFonts w:asciiTheme="minorHAnsi" w:hAnsiTheme="minorHAnsi" w:cstheme="minorHAnsi"/>
          <w:b/>
          <w:sz w:val="22"/>
        </w:rPr>
        <w:t>3</w:t>
      </w:r>
      <w:r w:rsidRPr="008D61AA">
        <w:rPr>
          <w:rFonts w:asciiTheme="minorHAnsi" w:hAnsiTheme="minorHAnsi" w:cstheme="minorHAnsi"/>
          <w:b/>
          <w:sz w:val="22"/>
        </w:rPr>
        <w:t>0.</w:t>
      </w:r>
    </w:p>
    <w:p w14:paraId="69664E17" w14:textId="71A4D47E"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5B78EB25" w14:textId="220178DA"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Default="00153B75">
      <w:pPr>
        <w:spacing w:after="29" w:line="259" w:lineRule="auto"/>
        <w:ind w:left="1133" w:right="0" w:firstLine="0"/>
        <w:jc w:val="left"/>
      </w:pPr>
    </w:p>
    <w:p w14:paraId="072F83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44CE3570" w14:textId="1ADEAF79" w:rsidR="00153B75" w:rsidRPr="008D61AA" w:rsidRDefault="001875D6" w:rsidP="003E26D3">
      <w:pPr>
        <w:numPr>
          <w:ilvl w:val="1"/>
          <w:numId w:val="1"/>
        </w:numPr>
        <w:ind w:right="337" w:hanging="852"/>
        <w:rPr>
          <w:rFonts w:asciiTheme="minorHAnsi" w:hAnsiTheme="minorHAnsi" w:cstheme="minorHAnsi"/>
          <w:b/>
          <w:sz w:val="22"/>
        </w:rPr>
      </w:pPr>
      <w:r w:rsidRPr="001D45CE">
        <w:rPr>
          <w:rFonts w:asciiTheme="minorHAnsi" w:hAnsiTheme="minorHAnsi" w:cstheme="minorHAnsi"/>
          <w:sz w:val="22"/>
        </w:rPr>
        <w:t>Wykonawca jest związany ofertą od dnia terminu składania ofert</w:t>
      </w:r>
      <w:r w:rsidRPr="001D45CE">
        <w:rPr>
          <w:rFonts w:asciiTheme="minorHAnsi" w:hAnsiTheme="minorHAnsi" w:cstheme="minorHAnsi"/>
          <w:b/>
          <w:sz w:val="22"/>
        </w:rPr>
        <w:t xml:space="preserve"> do dnia </w:t>
      </w:r>
      <w:r w:rsidR="00BE58A6">
        <w:rPr>
          <w:rFonts w:asciiTheme="minorHAnsi" w:hAnsiTheme="minorHAnsi" w:cstheme="minorHAnsi"/>
          <w:b/>
          <w:sz w:val="22"/>
        </w:rPr>
        <w:t>05</w:t>
      </w:r>
      <w:r w:rsidR="008D61AA" w:rsidRPr="008D61AA">
        <w:rPr>
          <w:rFonts w:asciiTheme="minorHAnsi" w:hAnsiTheme="minorHAnsi" w:cstheme="minorHAnsi"/>
          <w:b/>
          <w:sz w:val="22"/>
        </w:rPr>
        <w:t>.</w:t>
      </w:r>
      <w:r w:rsidR="00C60B94" w:rsidRPr="008D61AA">
        <w:rPr>
          <w:rFonts w:asciiTheme="minorHAnsi" w:hAnsiTheme="minorHAnsi" w:cstheme="minorHAnsi"/>
          <w:b/>
          <w:sz w:val="22"/>
        </w:rPr>
        <w:t>10</w:t>
      </w:r>
      <w:r w:rsidR="006A609F" w:rsidRPr="008D61AA">
        <w:rPr>
          <w:rFonts w:asciiTheme="minorHAnsi" w:hAnsiTheme="minorHAnsi" w:cstheme="minorHAnsi"/>
          <w:b/>
          <w:sz w:val="22"/>
        </w:rPr>
        <w:t>.</w:t>
      </w:r>
      <w:r w:rsidR="003E26D3" w:rsidRPr="008D61AA">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lastRenderedPageBreak/>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0F7AC4E2"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8744B8" w:rsidRPr="00432DB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  (G) zostaną obliczone według wzoru:</w:t>
      </w:r>
    </w:p>
    <w:p w14:paraId="1E877193" w14:textId="77777777" w:rsidR="008744B8" w:rsidRPr="008744B8" w:rsidRDefault="008744B8" w:rsidP="008744B8">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4D1CCE19"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651B69AD"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7B1EE75"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3015EBD3"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404D804"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Zamawiający wymaga zaoferowania gwarancji na okres minimum 36 miesięcy na przedmiot zamówienia. Zamawiający przyjmuje, że w kryterium „Okres gwarancji” oceniany będzie proponowany przez wykonawców okres gwarancji w skali od 36 miesięcy do 60 miesięcy.</w:t>
      </w:r>
    </w:p>
    <w:p w14:paraId="58DFED8A"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36 miesięcy.</w:t>
      </w:r>
    </w:p>
    <w:p w14:paraId="21A8AA0A"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zaoferowania przez Wykonawcę okresu gwarancji dłuższego niż 60 miesięcy, Zamawiający w celu przyznania punktów w kryterium „Okres gwarancji” przyjmie do obliczeń 60 miesięcy okresu gwarancji.</w:t>
      </w:r>
    </w:p>
    <w:p w14:paraId="5E90127B" w14:textId="77777777"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04D52FBB"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0F5C93B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Przyznana ilość punktów = C + G</w:t>
      </w:r>
    </w:p>
    <w:p w14:paraId="12839EFB" w14:textId="354FB603" w:rsidR="00153B75" w:rsidRDefault="00153B75" w:rsidP="00C35DC6">
      <w:pPr>
        <w:spacing w:after="34"/>
        <w:ind w:right="337"/>
      </w:pP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lastRenderedPageBreak/>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19A9DCE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zobowiązany jest do wniesienia zabezpieczenia należytego wykonania umowy na kwotę stanowiącą </w:t>
      </w:r>
      <w:r w:rsidRPr="00BB035F">
        <w:rPr>
          <w:rFonts w:asciiTheme="minorHAnsi" w:hAnsiTheme="minorHAnsi" w:cstheme="minorHAnsi"/>
          <w:b/>
          <w:sz w:val="22"/>
        </w:rPr>
        <w:t>5 % ceny brutto podanej w ofercie</w:t>
      </w:r>
      <w:r w:rsidRPr="00BB035F">
        <w:rPr>
          <w:rFonts w:asciiTheme="minorHAnsi" w:hAnsiTheme="minorHAnsi" w:cstheme="minorHAnsi"/>
          <w:sz w:val="22"/>
        </w:rPr>
        <w:t xml:space="preserve"> w formach określonych w art. 450 ust. 1 ustawy.  </w:t>
      </w:r>
    </w:p>
    <w:p w14:paraId="3C0B56DA" w14:textId="3D92C4CF" w:rsidR="00153B75" w:rsidRPr="00FF4B16" w:rsidRDefault="001875D6" w:rsidP="000A31E0">
      <w:pPr>
        <w:numPr>
          <w:ilvl w:val="1"/>
          <w:numId w:val="13"/>
        </w:numPr>
        <w:ind w:right="337" w:hanging="708"/>
        <w:rPr>
          <w:rFonts w:asciiTheme="minorHAnsi" w:hAnsiTheme="minorHAnsi" w:cstheme="minorHAnsi"/>
          <w:sz w:val="22"/>
        </w:rPr>
      </w:pPr>
      <w:r w:rsidRPr="00FF4B16">
        <w:rPr>
          <w:rFonts w:asciiTheme="minorHAnsi" w:hAnsiTheme="minorHAnsi" w:cstheme="minorHAnsi"/>
          <w:sz w:val="22"/>
        </w:rPr>
        <w:t xml:space="preserve">Zamawiający nie wyraża zgody na wniesienie zabezpieczenia w formach przewidzianych w art. 450 ust. 2 ustawy. </w:t>
      </w:r>
    </w:p>
    <w:p w14:paraId="1A0FBD6B" w14:textId="77777777" w:rsidR="00153B75" w:rsidRPr="00F604D5" w:rsidRDefault="001875D6" w:rsidP="000A31E0">
      <w:pPr>
        <w:numPr>
          <w:ilvl w:val="1"/>
          <w:numId w:val="13"/>
        </w:numPr>
        <w:ind w:right="337" w:hanging="708"/>
        <w:rPr>
          <w:rFonts w:asciiTheme="minorHAnsi" w:hAnsiTheme="minorHAnsi" w:cstheme="minorHAnsi"/>
          <w:sz w:val="22"/>
        </w:rPr>
      </w:pPr>
      <w:r w:rsidRPr="00F604D5">
        <w:rPr>
          <w:rFonts w:asciiTheme="minorHAnsi" w:hAnsiTheme="minorHAnsi" w:cstheme="minorHAnsi"/>
          <w:sz w:val="22"/>
        </w:rPr>
        <w:t xml:space="preserve">W przypadku wniesienia wadium w pieniądzu Wykonawca może wyrazić zgodę na zaliczenie kwoty wadium na poczet zabezpieczenia. </w:t>
      </w:r>
    </w:p>
    <w:p w14:paraId="68E26BA3" w14:textId="3DC8E785" w:rsidR="00153B75"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Dokument gwarancji (bankowej lub ubezpieczeniowej) musi zawierać nieodwołalną i bezwarunkową gwarancję płatną na pierwsze pisemne żądanie Zamawiającego.</w:t>
      </w:r>
    </w:p>
    <w:p w14:paraId="5F66B1BB" w14:textId="01BD39AA" w:rsidR="00FF4B16" w:rsidRPr="00BB035F" w:rsidRDefault="00FF4B16" w:rsidP="000A31E0">
      <w:pPr>
        <w:numPr>
          <w:ilvl w:val="1"/>
          <w:numId w:val="13"/>
        </w:numPr>
        <w:ind w:right="337" w:hanging="708"/>
        <w:rPr>
          <w:rFonts w:asciiTheme="minorHAnsi" w:hAnsiTheme="minorHAnsi" w:cstheme="minorHAnsi"/>
          <w:sz w:val="22"/>
        </w:rPr>
      </w:pPr>
      <w:r w:rsidRPr="00FF4B16">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lastRenderedPageBreak/>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5BE8B1" w14:textId="2D693538" w:rsidR="00651B6C" w:rsidRPr="00651B6C" w:rsidRDefault="00651B6C" w:rsidP="000A31E0">
      <w:pPr>
        <w:numPr>
          <w:ilvl w:val="0"/>
          <w:numId w:val="19"/>
        </w:numPr>
        <w:spacing w:after="0" w:line="240" w:lineRule="auto"/>
        <w:ind w:left="567" w:right="0"/>
        <w:jc w:val="left"/>
        <w:rPr>
          <w:rFonts w:ascii="Calibri" w:eastAsia="Calibri" w:hAnsi="Calibri" w:cs="Times New Roman"/>
          <w:bCs/>
          <w:color w:val="auto"/>
          <w:sz w:val="22"/>
          <w:lang w:eastAsia="en-US"/>
        </w:rPr>
      </w:pPr>
      <w:r w:rsidRPr="00651B6C">
        <w:rPr>
          <w:rFonts w:ascii="Calibri" w:eastAsia="Calibri" w:hAnsi="Calibri" w:cs="Times New Roman"/>
          <w:bCs/>
          <w:color w:val="auto"/>
          <w:sz w:val="22"/>
          <w:lang w:eastAsia="en-US"/>
        </w:rPr>
        <w:t>Dokumentacja projektowa, specyfikacje techniczne wykonania i odbioru robót, przedmiary;</w:t>
      </w:r>
    </w:p>
    <w:p w14:paraId="4AFAB40E" w14:textId="4A5FE2AF"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4F0D4853" w14:textId="2BD7725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aktualności informacji zawartych w oświadczeniu składanym</w:t>
      </w:r>
      <w:r w:rsidR="00E810A6" w:rsidRPr="00E810A6">
        <w:rPr>
          <w:rFonts w:ascii="Calibri" w:eastAsia="Calibri" w:hAnsi="Calibri" w:cs="Times New Roman"/>
          <w:color w:val="auto"/>
          <w:sz w:val="22"/>
          <w:lang w:eastAsia="en-US"/>
        </w:rPr>
        <w:t xml:space="preserve"> na podstawie art. 125 ust. 1 ustawy</w:t>
      </w:r>
      <w:r w:rsidR="00E810A6">
        <w:rPr>
          <w:rFonts w:ascii="Calibri" w:eastAsia="Calibri" w:hAnsi="Calibri" w:cs="Times New Roman"/>
          <w:color w:val="auto"/>
          <w:sz w:val="22"/>
          <w:lang w:eastAsia="en-US"/>
        </w:rPr>
        <w:t xml:space="preserve"> </w:t>
      </w:r>
      <w:r w:rsidRPr="00651B6C">
        <w:rPr>
          <w:rFonts w:ascii="Calibri" w:eastAsia="Calibri" w:hAnsi="Calibri" w:cs="Times New Roman"/>
          <w:color w:val="auto"/>
          <w:sz w:val="22"/>
          <w:lang w:eastAsia="en-US"/>
        </w:rPr>
        <w:t>,</w:t>
      </w:r>
    </w:p>
    <w:p w14:paraId="4B9C742A" w14:textId="0D69700F"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Pr="00651B6C">
        <w:rPr>
          <w:rFonts w:ascii="Calibri" w:eastAsia="Calibri" w:hAnsi="Calibri" w:cs="Times New Roman"/>
          <w:bCs/>
          <w:color w:val="auto"/>
          <w:sz w:val="22"/>
          <w:lang w:eastAsia="en-US"/>
        </w:rPr>
        <w:t xml:space="preserve"> zrealizowanych robót budowlanych</w:t>
      </w:r>
    </w:p>
    <w:p w14:paraId="4C214B32" w14:textId="43B897FC" w:rsidR="00651B6C" w:rsidRPr="00651B6C" w:rsidRDefault="00EA2A4A"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00651B6C" w:rsidRPr="00651B6C">
        <w:rPr>
          <w:rFonts w:ascii="Calibri" w:eastAsia="Calibri" w:hAnsi="Calibri" w:cs="Times New Roman"/>
          <w:bCs/>
          <w:color w:val="auto"/>
          <w:sz w:val="22"/>
          <w:lang w:eastAsia="en-US"/>
        </w:rPr>
        <w:t xml:space="preserve"> osób, które będą wykonywać zamówienie,</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00C5" w14:textId="77777777" w:rsidR="00A11B44" w:rsidRDefault="00A11B44">
      <w:pPr>
        <w:spacing w:after="0" w:line="240" w:lineRule="auto"/>
      </w:pPr>
      <w:r>
        <w:separator/>
      </w:r>
    </w:p>
  </w:endnote>
  <w:endnote w:type="continuationSeparator" w:id="0">
    <w:p w14:paraId="45D2A505" w14:textId="77777777" w:rsidR="00A11B44" w:rsidRDefault="00A1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BFF1" w14:textId="77777777" w:rsidR="00A11B44" w:rsidRDefault="00A11B44">
      <w:pPr>
        <w:spacing w:after="0" w:line="259" w:lineRule="auto"/>
        <w:ind w:left="0" w:right="0" w:firstLine="0"/>
        <w:jc w:val="left"/>
      </w:pPr>
      <w:r>
        <w:separator/>
      </w:r>
    </w:p>
  </w:footnote>
  <w:footnote w:type="continuationSeparator" w:id="0">
    <w:p w14:paraId="4ECDBF39" w14:textId="77777777" w:rsidR="00A11B44" w:rsidRDefault="00A11B44">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3"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7"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
  </w:num>
  <w:num w:numId="3">
    <w:abstractNumId w:val="4"/>
  </w:num>
  <w:num w:numId="4">
    <w:abstractNumId w:val="13"/>
  </w:num>
  <w:num w:numId="5">
    <w:abstractNumId w:val="14"/>
  </w:num>
  <w:num w:numId="6">
    <w:abstractNumId w:val="0"/>
  </w:num>
  <w:num w:numId="7">
    <w:abstractNumId w:val="11"/>
  </w:num>
  <w:num w:numId="8">
    <w:abstractNumId w:val="8"/>
  </w:num>
  <w:num w:numId="9">
    <w:abstractNumId w:val="10"/>
  </w:num>
  <w:num w:numId="10">
    <w:abstractNumId w:val="15"/>
  </w:num>
  <w:num w:numId="11">
    <w:abstractNumId w:val="7"/>
  </w:num>
  <w:num w:numId="12">
    <w:abstractNumId w:val="18"/>
  </w:num>
  <w:num w:numId="13">
    <w:abstractNumId w:val="9"/>
  </w:num>
  <w:num w:numId="14">
    <w:abstractNumId w:val="19"/>
  </w:num>
  <w:num w:numId="15">
    <w:abstractNumId w:val="1"/>
  </w:num>
  <w:num w:numId="16">
    <w:abstractNumId w:val="5"/>
  </w:num>
  <w:num w:numId="17">
    <w:abstractNumId w:val="2"/>
  </w:num>
  <w:num w:numId="18">
    <w:abstractNumId w:val="12"/>
  </w:num>
  <w:num w:numId="19">
    <w:abstractNumId w:val="17"/>
  </w:num>
  <w:num w:numId="20">
    <w:abstractNumId w:val="6"/>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3840"/>
    <w:rsid w:val="00015384"/>
    <w:rsid w:val="00037543"/>
    <w:rsid w:val="00072CEB"/>
    <w:rsid w:val="00082310"/>
    <w:rsid w:val="00086FB8"/>
    <w:rsid w:val="00090D61"/>
    <w:rsid w:val="000A31E0"/>
    <w:rsid w:val="000B3C92"/>
    <w:rsid w:val="000B606B"/>
    <w:rsid w:val="000E4111"/>
    <w:rsid w:val="000F1A15"/>
    <w:rsid w:val="00117E6B"/>
    <w:rsid w:val="001234A8"/>
    <w:rsid w:val="00124111"/>
    <w:rsid w:val="00131AE5"/>
    <w:rsid w:val="00141B15"/>
    <w:rsid w:val="00153B75"/>
    <w:rsid w:val="00170C78"/>
    <w:rsid w:val="00171E41"/>
    <w:rsid w:val="001875D6"/>
    <w:rsid w:val="00193676"/>
    <w:rsid w:val="001A468B"/>
    <w:rsid w:val="001D45CE"/>
    <w:rsid w:val="00206B33"/>
    <w:rsid w:val="00236601"/>
    <w:rsid w:val="002411A3"/>
    <w:rsid w:val="002474E5"/>
    <w:rsid w:val="002516B5"/>
    <w:rsid w:val="00256F61"/>
    <w:rsid w:val="00260CC0"/>
    <w:rsid w:val="002618EC"/>
    <w:rsid w:val="00280D2E"/>
    <w:rsid w:val="002A5551"/>
    <w:rsid w:val="002A7B84"/>
    <w:rsid w:val="002B6175"/>
    <w:rsid w:val="002D5DFF"/>
    <w:rsid w:val="00300C3B"/>
    <w:rsid w:val="00302C73"/>
    <w:rsid w:val="003041A1"/>
    <w:rsid w:val="0030792E"/>
    <w:rsid w:val="0031139D"/>
    <w:rsid w:val="003144D6"/>
    <w:rsid w:val="00323E69"/>
    <w:rsid w:val="003531E8"/>
    <w:rsid w:val="0035613E"/>
    <w:rsid w:val="00360846"/>
    <w:rsid w:val="00363C12"/>
    <w:rsid w:val="0037162A"/>
    <w:rsid w:val="00390E34"/>
    <w:rsid w:val="003967D4"/>
    <w:rsid w:val="003B36A2"/>
    <w:rsid w:val="003D1581"/>
    <w:rsid w:val="003E26D3"/>
    <w:rsid w:val="00412ED8"/>
    <w:rsid w:val="00424E27"/>
    <w:rsid w:val="00432DB1"/>
    <w:rsid w:val="004418B6"/>
    <w:rsid w:val="004649D4"/>
    <w:rsid w:val="004678CE"/>
    <w:rsid w:val="00480644"/>
    <w:rsid w:val="00486C25"/>
    <w:rsid w:val="00490E14"/>
    <w:rsid w:val="004A26D4"/>
    <w:rsid w:val="004B38E0"/>
    <w:rsid w:val="004D6D1C"/>
    <w:rsid w:val="004E2F9E"/>
    <w:rsid w:val="00510580"/>
    <w:rsid w:val="00511B94"/>
    <w:rsid w:val="00514270"/>
    <w:rsid w:val="005159AA"/>
    <w:rsid w:val="00525218"/>
    <w:rsid w:val="00543F37"/>
    <w:rsid w:val="00562011"/>
    <w:rsid w:val="005D5B61"/>
    <w:rsid w:val="00607AD6"/>
    <w:rsid w:val="00607FE2"/>
    <w:rsid w:val="0063423B"/>
    <w:rsid w:val="00651B6C"/>
    <w:rsid w:val="00662AA6"/>
    <w:rsid w:val="00675C77"/>
    <w:rsid w:val="0067758D"/>
    <w:rsid w:val="006A609F"/>
    <w:rsid w:val="006C168B"/>
    <w:rsid w:val="006D0593"/>
    <w:rsid w:val="006D1A8B"/>
    <w:rsid w:val="00750AF1"/>
    <w:rsid w:val="00763CD2"/>
    <w:rsid w:val="00765946"/>
    <w:rsid w:val="00782D36"/>
    <w:rsid w:val="0079104C"/>
    <w:rsid w:val="007955E1"/>
    <w:rsid w:val="007A48E0"/>
    <w:rsid w:val="007E00FB"/>
    <w:rsid w:val="007E70CC"/>
    <w:rsid w:val="007F319B"/>
    <w:rsid w:val="007F38FB"/>
    <w:rsid w:val="007F7033"/>
    <w:rsid w:val="00800996"/>
    <w:rsid w:val="00812370"/>
    <w:rsid w:val="008207C1"/>
    <w:rsid w:val="00847323"/>
    <w:rsid w:val="00873D8C"/>
    <w:rsid w:val="008740F5"/>
    <w:rsid w:val="008744B8"/>
    <w:rsid w:val="00896E51"/>
    <w:rsid w:val="008D0FDA"/>
    <w:rsid w:val="008D61AA"/>
    <w:rsid w:val="008F0EDD"/>
    <w:rsid w:val="008F498A"/>
    <w:rsid w:val="008F5B4E"/>
    <w:rsid w:val="00935663"/>
    <w:rsid w:val="00946047"/>
    <w:rsid w:val="00950B87"/>
    <w:rsid w:val="00964BDF"/>
    <w:rsid w:val="00965835"/>
    <w:rsid w:val="009669EF"/>
    <w:rsid w:val="00970F72"/>
    <w:rsid w:val="00971E98"/>
    <w:rsid w:val="009D184D"/>
    <w:rsid w:val="009E2E70"/>
    <w:rsid w:val="009E5619"/>
    <w:rsid w:val="009E5C1A"/>
    <w:rsid w:val="00A043B2"/>
    <w:rsid w:val="00A05C47"/>
    <w:rsid w:val="00A11B44"/>
    <w:rsid w:val="00A12F25"/>
    <w:rsid w:val="00A24D7E"/>
    <w:rsid w:val="00A41EB4"/>
    <w:rsid w:val="00A62332"/>
    <w:rsid w:val="00A75FEF"/>
    <w:rsid w:val="00AE1BFD"/>
    <w:rsid w:val="00AF68A8"/>
    <w:rsid w:val="00B07260"/>
    <w:rsid w:val="00B1411C"/>
    <w:rsid w:val="00B2198A"/>
    <w:rsid w:val="00B32DDA"/>
    <w:rsid w:val="00B561BE"/>
    <w:rsid w:val="00B56610"/>
    <w:rsid w:val="00B600EE"/>
    <w:rsid w:val="00B62E30"/>
    <w:rsid w:val="00B66B74"/>
    <w:rsid w:val="00B90B83"/>
    <w:rsid w:val="00BA370A"/>
    <w:rsid w:val="00BA398D"/>
    <w:rsid w:val="00BB035F"/>
    <w:rsid w:val="00BB3039"/>
    <w:rsid w:val="00BB6BF5"/>
    <w:rsid w:val="00BD65C6"/>
    <w:rsid w:val="00BE58A6"/>
    <w:rsid w:val="00C25BBB"/>
    <w:rsid w:val="00C26AE9"/>
    <w:rsid w:val="00C35DC6"/>
    <w:rsid w:val="00C60B94"/>
    <w:rsid w:val="00C7594C"/>
    <w:rsid w:val="00C84BA1"/>
    <w:rsid w:val="00CC2C19"/>
    <w:rsid w:val="00CF4951"/>
    <w:rsid w:val="00D2093C"/>
    <w:rsid w:val="00D43D4C"/>
    <w:rsid w:val="00D46CD4"/>
    <w:rsid w:val="00D6336F"/>
    <w:rsid w:val="00D6516E"/>
    <w:rsid w:val="00D76BFC"/>
    <w:rsid w:val="00D87659"/>
    <w:rsid w:val="00D9673A"/>
    <w:rsid w:val="00DA0DF1"/>
    <w:rsid w:val="00DB271B"/>
    <w:rsid w:val="00DB447B"/>
    <w:rsid w:val="00DE1D66"/>
    <w:rsid w:val="00DF0DB5"/>
    <w:rsid w:val="00DF15E4"/>
    <w:rsid w:val="00E03733"/>
    <w:rsid w:val="00E14D64"/>
    <w:rsid w:val="00E171BC"/>
    <w:rsid w:val="00E32717"/>
    <w:rsid w:val="00E359D3"/>
    <w:rsid w:val="00E464A8"/>
    <w:rsid w:val="00E810A6"/>
    <w:rsid w:val="00EA2A4A"/>
    <w:rsid w:val="00EE37FF"/>
    <w:rsid w:val="00EE7544"/>
    <w:rsid w:val="00EF4376"/>
    <w:rsid w:val="00F11FB6"/>
    <w:rsid w:val="00F12B6A"/>
    <w:rsid w:val="00F14706"/>
    <w:rsid w:val="00F1759F"/>
    <w:rsid w:val="00F23D8E"/>
    <w:rsid w:val="00F25949"/>
    <w:rsid w:val="00F304BA"/>
    <w:rsid w:val="00F604D5"/>
    <w:rsid w:val="00F94F52"/>
    <w:rsid w:val="00F97A2B"/>
    <w:rsid w:val="00FA4733"/>
    <w:rsid w:val="00FB0875"/>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6434</Words>
  <Characters>38607</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Koleśnik Olgierd Jerzy</cp:lastModifiedBy>
  <cp:revision>15</cp:revision>
  <dcterms:created xsi:type="dcterms:W3CDTF">2021-08-22T19:09:00Z</dcterms:created>
  <dcterms:modified xsi:type="dcterms:W3CDTF">2021-08-23T07:40:00Z</dcterms:modified>
</cp:coreProperties>
</file>